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仿宋"/>
          <w:b/>
          <w:sz w:val="36"/>
          <w:szCs w:val="32"/>
        </w:rPr>
      </w:pPr>
      <w:r>
        <w:rPr>
          <w:rFonts w:hint="eastAsia" w:ascii="宋体" w:hAnsi="宋体" w:cs="仿宋"/>
          <w:b/>
          <w:sz w:val="36"/>
          <w:szCs w:val="32"/>
        </w:rPr>
        <w:t>中山市2020年省级促进经济高质量发展专项资金工业互联网标杆示范项目</w:t>
      </w:r>
      <w:r>
        <w:rPr>
          <w:rFonts w:hint="eastAsia" w:ascii="宋体" w:hAnsi="宋体" w:cs="仿宋"/>
          <w:b/>
          <w:sz w:val="36"/>
          <w:szCs w:val="32"/>
          <w:lang w:eastAsia="zh-CN"/>
        </w:rPr>
        <w:t>拟</w:t>
      </w:r>
      <w:r>
        <w:rPr>
          <w:rFonts w:hint="eastAsia" w:ascii="宋体" w:hAnsi="宋体" w:cs="仿宋"/>
          <w:b/>
          <w:sz w:val="36"/>
          <w:szCs w:val="32"/>
        </w:rPr>
        <w:t>入库名单</w:t>
      </w:r>
    </w:p>
    <w:tbl>
      <w:tblPr>
        <w:tblStyle w:val="3"/>
        <w:tblpPr w:leftFromText="180" w:rightFromText="180" w:vertAnchor="text" w:horzAnchor="page" w:tblpXSpec="center" w:tblpY="229"/>
        <w:tblOverlap w:val="never"/>
        <w:tblW w:w="9032" w:type="dxa"/>
        <w:tblInd w:w="-1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823"/>
        <w:gridCol w:w="1072"/>
        <w:gridCol w:w="3554"/>
        <w:gridCol w:w="28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所属专题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镇区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申报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中山辰元纺织科技有限公司（联合单位：广州鼎捷软件有限公司）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智能生产及仓储云端技术改造项目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南头镇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广东长虹电子有限公司（联合单位：中国联通中山分公司、广东英达思迅智能制造有限公司）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数字家电（长虹）工业互联网标杆创新应用项目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三乡镇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广东和胜工业铝材股份有限公司（联合单位：中山市博达软件有限公司）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工业铝加工行业多组织多系统协同互联集成应用创新项目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中山益达服装有限公司（联合单位：深圳市通用条码技术开发中心、中山市鸿之远工业机器人有限公司）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基于工业互联网的服装智造一体化平台标干示范项目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中山新高电子材料股份有限公司（航天云网数据研究院（广东）有限公司、中国移动通信集团广东有限公司中山分公司）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面向5G高频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FPC基材的柔性制造工厂示范项目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中山市明阳电器有限公司（联合单位：中国联通中山分公司）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基于工业互联网平台的输配电设备智能制造项目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南朗镇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完美（广东）日用品有限公司（联合单位：广东思谷智能技术有限公司）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基于工业互联网的食品日化行业供应链协同制造平台应用建设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专题1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广东星昊药业有限公司（联合单位：广东可道科技有限公司、广州市华普实验科技有限公司）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广东星昊药业有限公司生产及研发工业互联网应用项目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1.专题1：工业企业工业互联网应用标杆方向，专题2：5G+工业互联网应用标杆方向；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2.优先顺序按评审分数由高到低排序；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3.省下达资金后，按审批程序从项目库中遴选项目，制定具体项目和资金分配方案。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C0995"/>
    <w:rsid w:val="10615304"/>
    <w:rsid w:val="16516B35"/>
    <w:rsid w:val="28E42859"/>
    <w:rsid w:val="2AD76CB3"/>
    <w:rsid w:val="433B5986"/>
    <w:rsid w:val="74523205"/>
    <w:rsid w:val="77EF3FE6"/>
    <w:rsid w:val="77F821EA"/>
    <w:rsid w:val="79A9222B"/>
    <w:rsid w:val="7ED2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郝毫保</cp:lastModifiedBy>
  <cp:lastPrinted>2019-10-22T02:31:00Z</cp:lastPrinted>
  <dcterms:modified xsi:type="dcterms:W3CDTF">2019-10-22T04:20:56Z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