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仿宋"/>
          <w:b/>
          <w:sz w:val="36"/>
          <w:szCs w:val="32"/>
          <w:lang w:eastAsia="zh-CN"/>
        </w:rPr>
      </w:pPr>
      <w:r>
        <w:rPr>
          <w:rFonts w:hint="eastAsia" w:ascii="宋体" w:hAnsi="宋体" w:cs="仿宋"/>
          <w:b/>
          <w:sz w:val="36"/>
          <w:szCs w:val="32"/>
          <w:lang w:eastAsia="zh-CN"/>
        </w:rPr>
        <w:t>中山市2019年新一代信息技术产业发展专项资金项目（项目过渡性用房租金补贴和企业经营贡献奖专题）拟资助名单</w:t>
      </w:r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6"/>
        <w:tblOverlap w:val="never"/>
        <w:tblW w:w="96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982"/>
        <w:gridCol w:w="2013"/>
        <w:gridCol w:w="2162"/>
        <w:gridCol w:w="2106"/>
        <w:gridCol w:w="17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所属镇区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奖补金额(万元)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翠亨新区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广东纵行科技有限公司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中山智能网联汽车生产基地建设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项目过渡性用房租金补贴专题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深亮智能技术（中山）有限公司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VCSEL激光光源模组、激光器及其应用产业化项目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项目过渡性用房租金补贴专题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中山市光促通信有限公司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新一代通信设备智能制造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项目过渡性用房租金补贴专题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石岐区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广东沃莱科技有限公司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应变式传感器的研发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企业经营贡献奖专题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五桂山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读书郎教育科技有限公司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基于在线辅导的双师直播系统技术研究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企业经营贡献奖专题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中山新高电子材料股份有限公司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MPI柔性覆铜的开发及产业化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企业经营贡献奖专题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火炬开发区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广东安普光光电科技有限公司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2019年新一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代信息技术产业发展专项资金项目（企业经营贡献奖专题）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企业经营贡献奖专题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东区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广东全通教育科技集团有限公司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AI人工智能校园人脸识别管理平台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企业经营贡献奖专题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C0995"/>
    <w:rsid w:val="26FD3797"/>
    <w:rsid w:val="3755307E"/>
    <w:rsid w:val="398B0A12"/>
    <w:rsid w:val="4AA9369B"/>
    <w:rsid w:val="637E7DD2"/>
    <w:rsid w:val="6E7E7E26"/>
    <w:rsid w:val="772359BF"/>
    <w:rsid w:val="7BDE52A3"/>
    <w:rsid w:val="7CC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郝毫保</cp:lastModifiedBy>
  <dcterms:modified xsi:type="dcterms:W3CDTF">2019-10-22T04:00:23Z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