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6969" w:hanging="6969" w:hangingChars="2300"/>
        <w:jc w:val="both"/>
        <w:textAlignment w:val="auto"/>
        <w:rPr>
          <w:rFonts w:hint="eastAsia" w:ascii="宋体" w:hAnsi="宋体" w:eastAsia="宋体" w:cs="宋体"/>
          <w:b/>
          <w:i w:val="0"/>
          <w:color w:val="auto"/>
          <w:kern w:val="0"/>
          <w:sz w:val="32"/>
          <w:szCs w:val="32"/>
          <w:u w:val="none"/>
          <w:lang w:val="en-US" w:eastAsia="zh-CN"/>
        </w:rPr>
      </w:pPr>
      <w:r>
        <w:rPr>
          <w:rFonts w:hint="eastAsia" w:ascii="黑体" w:hAnsi="黑体" w:eastAsia="黑体" w:cs="黑体"/>
          <w:b w:val="0"/>
          <w:bCs/>
          <w:i w:val="0"/>
          <w:color w:val="auto"/>
          <w:kern w:val="0"/>
          <w:sz w:val="32"/>
          <w:szCs w:val="32"/>
          <w:u w:val="none"/>
          <w:lang w:val="en-US" w:eastAsia="zh-CN"/>
        </w:rPr>
        <w:t>附件1</w:t>
      </w:r>
      <w:r>
        <w:rPr>
          <w:rFonts w:hint="eastAsia" w:ascii="宋体" w:hAnsi="宋体" w:eastAsia="宋体" w:cs="宋体"/>
          <w:b w:val="0"/>
          <w:bCs/>
          <w:i w:val="0"/>
          <w:color w:val="auto"/>
          <w:kern w:val="0"/>
          <w:sz w:val="32"/>
          <w:szCs w:val="32"/>
          <w:u w:val="none"/>
          <w:lang w:val="en-US" w:eastAsia="zh-CN"/>
        </w:rPr>
        <w:t xml:space="preserve">   </w:t>
      </w:r>
      <w:r>
        <w:rPr>
          <w:rFonts w:hint="eastAsia" w:ascii="宋体" w:hAnsi="宋体" w:eastAsia="宋体" w:cs="宋体"/>
          <w:b/>
          <w:i w:val="0"/>
          <w:color w:val="auto"/>
          <w:kern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6969" w:hanging="9729" w:hangingChars="2300"/>
        <w:jc w:val="center"/>
        <w:textAlignment w:val="auto"/>
        <w:rPr>
          <w:rFonts w:hint="eastAsia" w:ascii="方正小标宋简体" w:hAnsi="方正小标宋简体" w:eastAsia="方正小标宋简体" w:cs="方正小标宋简体"/>
          <w:b w:val="0"/>
          <w:bCs/>
          <w:i w:val="0"/>
          <w:color w:val="auto"/>
          <w:kern w:val="0"/>
          <w:sz w:val="44"/>
          <w:szCs w:val="44"/>
          <w:u w:val="none"/>
          <w:lang w:val="en-US" w:eastAsia="zh-CN"/>
        </w:rPr>
      </w:pPr>
      <w:r>
        <w:rPr>
          <w:rFonts w:hint="eastAsia" w:ascii="方正小标宋简体" w:hAnsi="方正小标宋简体" w:eastAsia="方正小标宋简体" w:cs="方正小标宋简体"/>
          <w:b w:val="0"/>
          <w:bCs/>
          <w:i w:val="0"/>
          <w:color w:val="auto"/>
          <w:kern w:val="0"/>
          <w:sz w:val="44"/>
          <w:szCs w:val="44"/>
          <w:u w:val="none"/>
          <w:lang w:val="en-US" w:eastAsia="zh-CN"/>
        </w:rPr>
        <w:t>中山市市场监督管理局“证</w:t>
      </w:r>
      <w:bookmarkStart w:id="0" w:name="_GoBack"/>
      <w:bookmarkEnd w:id="0"/>
      <w:r>
        <w:rPr>
          <w:rFonts w:hint="eastAsia" w:ascii="方正小标宋简体" w:hAnsi="方正小标宋简体" w:eastAsia="方正小标宋简体" w:cs="方正小标宋简体"/>
          <w:b w:val="0"/>
          <w:bCs/>
          <w:i w:val="0"/>
          <w:color w:val="auto"/>
          <w:kern w:val="0"/>
          <w:sz w:val="44"/>
          <w:szCs w:val="44"/>
          <w:u w:val="none"/>
          <w:lang w:val="en-US" w:eastAsia="zh-CN"/>
        </w:rPr>
        <w:t>照分离”改革全覆盖试点事项清单</w:t>
      </w:r>
    </w:p>
    <w:p>
      <w:pPr>
        <w:keepNext w:val="0"/>
        <w:keepLines w:val="0"/>
        <w:pageBreakBefore w:val="0"/>
        <w:widowControl w:val="0"/>
        <w:kinsoku/>
        <w:wordWrap/>
        <w:overflowPunct/>
        <w:topLinePunct w:val="0"/>
        <w:autoSpaceDE/>
        <w:autoSpaceDN/>
        <w:bidi w:val="0"/>
        <w:adjustRightInd/>
        <w:snapToGrid/>
        <w:spacing w:line="540" w:lineRule="exact"/>
        <w:ind w:left="9333" w:leftChars="2103" w:hanging="2961" w:hangingChars="700"/>
        <w:jc w:val="both"/>
        <w:textAlignment w:val="auto"/>
        <w:rPr>
          <w:b w:val="0"/>
          <w:bCs/>
          <w:sz w:val="44"/>
          <w:szCs w:val="44"/>
        </w:rPr>
      </w:pPr>
      <w:r>
        <w:rPr>
          <w:rFonts w:hint="eastAsia" w:ascii="方正小标宋简体" w:hAnsi="方正小标宋简体" w:eastAsia="方正小标宋简体" w:cs="方正小标宋简体"/>
          <w:b w:val="0"/>
          <w:bCs/>
          <w:i w:val="0"/>
          <w:color w:val="auto"/>
          <w:kern w:val="0"/>
          <w:sz w:val="44"/>
          <w:szCs w:val="44"/>
          <w:u w:val="none"/>
          <w:lang w:val="en-US" w:eastAsia="zh-CN"/>
        </w:rPr>
        <w:t>（2019年版）</w:t>
      </w:r>
    </w:p>
    <w:tbl>
      <w:tblPr>
        <w:tblStyle w:val="5"/>
        <w:tblW w:w="1542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462"/>
        <w:gridCol w:w="825"/>
        <w:gridCol w:w="1020"/>
        <w:gridCol w:w="840"/>
        <w:gridCol w:w="840"/>
        <w:gridCol w:w="660"/>
        <w:gridCol w:w="975"/>
        <w:gridCol w:w="870"/>
        <w:gridCol w:w="855"/>
        <w:gridCol w:w="570"/>
        <w:gridCol w:w="585"/>
        <w:gridCol w:w="585"/>
        <w:gridCol w:w="525"/>
        <w:gridCol w:w="2505"/>
        <w:gridCol w:w="2485"/>
        <w:gridCol w:w="8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95" w:hRule="atLeast"/>
          <w:tblHeader/>
          <w:jc w:val="center"/>
        </w:trPr>
        <w:tc>
          <w:tcPr>
            <w:tcW w:w="462"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序号</w:t>
            </w:r>
          </w:p>
        </w:tc>
        <w:tc>
          <w:tcPr>
            <w:tcW w:w="8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国家主管部门</w:t>
            </w:r>
          </w:p>
        </w:tc>
        <w:tc>
          <w:tcPr>
            <w:tcW w:w="102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改革事项</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许可证件名称</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省级事项名称</w:t>
            </w:r>
          </w:p>
        </w:tc>
        <w:tc>
          <w:tcPr>
            <w:tcW w:w="66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省级主管部门</w:t>
            </w:r>
          </w:p>
        </w:tc>
        <w:tc>
          <w:tcPr>
            <w:tcW w:w="97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设定依据</w:t>
            </w:r>
          </w:p>
        </w:tc>
        <w:tc>
          <w:tcPr>
            <w:tcW w:w="87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审批层级和部门</w:t>
            </w:r>
          </w:p>
        </w:tc>
        <w:tc>
          <w:tcPr>
            <w:tcW w:w="85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市级主管部门</w:t>
            </w:r>
          </w:p>
        </w:tc>
        <w:tc>
          <w:tcPr>
            <w:tcW w:w="2265" w:type="dxa"/>
            <w:gridSpan w:val="4"/>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改革方式</w:t>
            </w:r>
          </w:p>
        </w:tc>
        <w:tc>
          <w:tcPr>
            <w:tcW w:w="250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具体改革举措</w:t>
            </w:r>
          </w:p>
        </w:tc>
        <w:tc>
          <w:tcPr>
            <w:tcW w:w="248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加强事中事后监管措施</w:t>
            </w:r>
          </w:p>
        </w:tc>
        <w:tc>
          <w:tcPr>
            <w:tcW w:w="826"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责任科室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399" w:hRule="atLeast"/>
          <w:tblHeader/>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66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5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直接取消审批</w:t>
            </w:r>
          </w:p>
        </w:tc>
        <w:tc>
          <w:tcPr>
            <w:tcW w:w="58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审批改为备案</w:t>
            </w:r>
          </w:p>
        </w:tc>
        <w:tc>
          <w:tcPr>
            <w:tcW w:w="58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实行告知承诺</w:t>
            </w: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rPr>
              <w:t>优化审批服务</w:t>
            </w: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黑体" w:hAnsi="宋体" w:eastAsia="黑体" w:cs="黑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080"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食品经营许可（仅销售预包装食品）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县级以上地方市场监管部门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保留审批并优化审批服务。</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审批办、食品经营科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805"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广告发布登记</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关于准予广告发布登记的通知书</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广告发布登记</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《中华人民共和国广告法》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县级以上地方市场监管部门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1.推动实现广告发布登记申请、审批等全程网上办理。2.不再要求申请人提供广告业务机构证明文件及负责人任命文件、广告从业人员和广告审查人员证明文件、场所使用证明等材料。</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1.加大广告监测力度，发现广告发布机构发布虚假违法广告的要依法查处。2.加强协同监管，进一步发挥整治虚假违法广告部际联席会议作用，联合有关部门共同做好广告发布机构的监管工作。</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审批办、广告监管科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90"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承担国家法定计量检定机构任务授权</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计量授权证书</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承担国家法定计量检定机构任务的授权</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《中华人民共和国计量法》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实现申请、审批全程网上办理，并将审批信息统一归集至有关数据平台。2.取消计量标准考核证书、计量检定或校准人员能力证明等申请材料。3.对变更法定代表人、授权签字人或计量规程等需现场审查的事项，由法定计量检定机构自愿承诺符合相关要求，审批部门对承诺内容进行形式审查后办理。</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开展“双随机、一公开”监管，发现违法违规行为的要依法查处并公开结果。2.对通过投诉举报等渠道反映问题多的机构实施重点监管。3.加强信用监管，向社会公布法定计量检定机构信用状况，对失信主体开展联合惩戒。</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审批办、计量科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431"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食品经营许可（除仅销售预包装食品外）</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食品经营许可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县级以上地方市场监管部门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1.餐饮服务经营者销售预包装食品的，不需要申请在许可证上标注销售类食品经营项目。2.不再要求申请人提供营业执照复印件等材料。</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标准，开展“双随机、一公开”监管，发挥网格化管理的优势，发现违法违规行为的要依法严查重处并公开结果。2.加强信用监管，向社会公布食品经营企业信用状况，对失信主体开展联合惩戒。</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审批办、食品经营科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850" w:hRule="atLeast"/>
          <w:jc w:val="center"/>
        </w:trPr>
        <w:tc>
          <w:tcPr>
            <w:tcW w:w="462"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8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食品生产许可证</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食品生产许可（不含保健食品、婴幼儿配方乳粉、特殊医学用途配方食品）</w:t>
            </w:r>
          </w:p>
        </w:tc>
        <w:tc>
          <w:tcPr>
            <w:tcW w:w="66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w:t>
            </w:r>
          </w:p>
        </w:tc>
        <w:tc>
          <w:tcPr>
            <w:tcW w:w="87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县级以上地方市场监管部门</w:t>
            </w:r>
          </w:p>
        </w:tc>
        <w:tc>
          <w:tcPr>
            <w:tcW w:w="85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48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标准，落实风险分级分类监管制度，开展“双随机、一公开”监管，加大监督检查和抽检力度，发现违法违规行为的要依法严查重处并公开结果。2.加强信用监管，向社会公布食品生产企业信用状况，对失信主体开展联合惩戒。</w:t>
            </w:r>
          </w:p>
        </w:tc>
        <w:tc>
          <w:tcPr>
            <w:tcW w:w="826"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Style w:val="7"/>
                <w:lang w:val="en-US" w:eastAsia="zh-CN"/>
              </w:rPr>
              <w:t>审批办、食品生产科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85" w:hRule="atLeast"/>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66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671"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食品添加剂生产许可</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食品添加剂生产许可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市级市场监督管理部门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1.实现申请、审批全程网上办理。2.将审批时限由20个工作日压减至10个工作日。3.不再要求申请人提供营业执照、食品安全管理制度文本等材料。</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标准，对食品添加剂生产企业加强监管。2.开展“双随机、一公开”监管，发现违法违规行为的要依法严查重处并公开结果。3.加强信用监管，向社会公布食品添加剂生产企业信用状况，对失信主体开展联合惩戒。</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审批办、食品生产科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341" w:hRule="atLeast"/>
          <w:jc w:val="center"/>
        </w:trPr>
        <w:tc>
          <w:tcPr>
            <w:tcW w:w="462"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8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重要工业产品（除食品相关产品外）生产许可证核发</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重要工业产品生产许可证</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工业产品生产许可证核发</w:t>
            </w:r>
          </w:p>
        </w:tc>
        <w:tc>
          <w:tcPr>
            <w:tcW w:w="66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《中华人民共和国工业产品生产许可证管理条例》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市场监管总局；省级市场监管部门；</w:t>
            </w:r>
          </w:p>
        </w:tc>
        <w:tc>
          <w:tcPr>
            <w:tcW w:w="85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248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c>
          <w:tcPr>
            <w:tcW w:w="826"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审批办、质量监督科、质量发展科、执法监督科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510" w:hRule="atLeast"/>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66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市级市场监管部门</w:t>
            </w: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206"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移动式压力容器、气瓶充装单位许可</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移动式压力容器充装许可证、气瓶充装许可证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气瓶、移动式压力容器充装单位许可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《中华人民共和国特种设备安全法》《特种设备安全监察条例》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开展“双随机、一公开”监管，发现违法违规行为的要依法查处并公开结果。2.对有投诉举报和发生充装事故的企业实施重点监管。3.针对通过自愿承诺申请直接换证的充装单位，发现提交的申请材料中有虚假内容的要依法处理。</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审批办、特种承压设备科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921" w:hRule="atLeast"/>
          <w:jc w:val="center"/>
        </w:trPr>
        <w:tc>
          <w:tcPr>
            <w:tcW w:w="462"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8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国家药监局</w:t>
            </w:r>
          </w:p>
        </w:tc>
        <w:tc>
          <w:tcPr>
            <w:tcW w:w="102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药品零售企业许可</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药品经营许可证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药品经营许可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《中华人民共和国药品管理法》</w:t>
            </w:r>
          </w:p>
        </w:tc>
        <w:tc>
          <w:tcPr>
            <w:tcW w:w="87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设区的市、县级药监部门</w:t>
            </w:r>
          </w:p>
        </w:tc>
        <w:tc>
          <w:tcPr>
            <w:tcW w:w="85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不再要求申请人提供营业执照等材料。</w:t>
            </w:r>
          </w:p>
        </w:tc>
        <w:tc>
          <w:tcPr>
            <w:tcW w:w="248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1.落实“四个最严”要求，制定年度监管计划，突出监管重点，强化风险控制。2.通过日常监管督促企业不断完善、改进质量管理体系，持续合法合规经营。3.对违法违规行为，依法严厉查处并公开曝光。</w:t>
            </w:r>
          </w:p>
        </w:tc>
        <w:tc>
          <w:tcPr>
            <w:tcW w:w="826"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审批办、药品监管科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510" w:hRule="atLeast"/>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药品经营许可证补发</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507"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10</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国家药监局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第二类精神药品零售业务审批</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批准文件，在药品经营许可证经营范围中注明</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特殊药品的购用、使用、经营、生产和邮寄、运输审批</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《麻醉药品和精神药品管理条例》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设区的市级药监部门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不再要求申请人提供药品经营许可证、药品经营质量管理规范（GSP）证书等材料。</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1.严格执行有关法律法规和规章，对特殊药品零售经营企业加强监管。2.实施重点监管，发现违法违规行为的要依法严查重处。3.及时向社会公开许可信息，加强社会监督。</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审批办、药品监管科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780" w:hRule="atLeast"/>
          <w:jc w:val="center"/>
        </w:trPr>
        <w:tc>
          <w:tcPr>
            <w:tcW w:w="462"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8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国家药监局</w:t>
            </w:r>
          </w:p>
        </w:tc>
        <w:tc>
          <w:tcPr>
            <w:tcW w:w="102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第三类医疗器械经营许可</w:t>
            </w:r>
          </w:p>
        </w:tc>
        <w:tc>
          <w:tcPr>
            <w:tcW w:w="84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医疗器械经营许可证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第三类医疗器械经营许可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《医疗器械监督管理条例》</w:t>
            </w:r>
          </w:p>
        </w:tc>
        <w:tc>
          <w:tcPr>
            <w:tcW w:w="870"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设区的市级药监部门</w:t>
            </w:r>
          </w:p>
        </w:tc>
        <w:tc>
          <w:tcPr>
            <w:tcW w:w="85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将审批时限由30个工作日压减至20个工作日。</w:t>
            </w:r>
          </w:p>
        </w:tc>
        <w:tc>
          <w:tcPr>
            <w:tcW w:w="2485" w:type="dxa"/>
            <w:vMerge w:val="restart"/>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加大执法检查力度，督促企业严格落实医疗器械经营质量管理规范要求，发现违法违规行为的要依法严查重处。</w:t>
            </w:r>
          </w:p>
        </w:tc>
        <w:tc>
          <w:tcPr>
            <w:tcW w:w="826" w:type="dxa"/>
            <w:vMerge w:val="restart"/>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审批办、医疗器械科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750" w:hRule="atLeast"/>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第三类医疗器械经营许可证补发</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31"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检验检测机构资质认定</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检验检测机构资质认定证书</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检验检测机构计量认证</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《中华人民共和国计量法》《中华人民共和国食品安全法》《中华人民共和国计量法实施细则》《中华人民共和国认证认可条例》《医疗器械监督管理条例》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市场监管总局；省级市场监管部门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将检验检测机构申请机构法定代表人、最高管理者、技术负责人变更事项改为备案;在资质认定证书有效期到期复查环节,对于上一许可周期内无违法违规行为,未列入失信名单,并且申请事项无实质变化的检验检测机构,采取形式审査方式给予审批,无需实施现场评审；在检验检测机构申请授权签字人变更(含新增签字人、扩大签字领域)或者无实质变化的标准变更时,如选择以自我声明符合资质认定相关要求,采取形式审查方式给予审批，无需实施现场评审。</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1.开展“双随机、一公开”监管，对社会关注度高、风险等级高、投诉举报多的领域实施重点监管。2.加强信用监管，向社会公布检验检测机构检查情况。</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质量发展科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90"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13</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食品相关产品生产许可证核发</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食品相关产品生产许可证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工业产品生产许可证核发</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《中华人民共和国食品安全法》《中华人民共和国工业产品生产许可证管理条例》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52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配合省局对通过告知承诺取得许可证（包括许可范围变更）及许可有效期届满延期换证的企业开展后置现场审查，发现虚假承诺或者承诺严重不实的要依法处理。2.开展“双随机、一公开”监管，发现违法违规行为的要依法严查重处并公开结果。</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食品生产科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219"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14</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国家药监局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医疗器械互联网信息服务审批</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互联网药品信息服务资格证书</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互联网药品信息服务企业审批</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广东省药品监督管理局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《互联网信息服务管理办法》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省级药监部门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52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对申请人承诺已经具备相关证明文件、资格证书、管理制度、网络与信息安全保障措施等条件的，经形式审查后当场作出审批决定。</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加强网络监测，对发现的违法违规问题及时上报。</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医疗器械科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423"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15</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工业和信息化部</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食盐定点生产企业审批</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食盐定点生产企业证书</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食盐定点生产企业审批</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《食盐专营办法》</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省级盐业部门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Style w:val="7"/>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不再要求申请人提供营业执照复印件等材料。</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1.严格执行有关法律法规和标准，对食盐定点生产企业加强监管。2.加强信用监管，向社会公布食盐定点生产企业信用状况，对失信主体开展联合惩戒。</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食品生产科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640" w:hRule="atLeast"/>
          <w:jc w:val="center"/>
        </w:trPr>
        <w:tc>
          <w:tcPr>
            <w:tcW w:w="46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16</w:t>
            </w:r>
          </w:p>
        </w:tc>
        <w:tc>
          <w:tcPr>
            <w:tcW w:w="8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w:t>
            </w:r>
          </w:p>
        </w:tc>
        <w:tc>
          <w:tcPr>
            <w:tcW w:w="8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食品生产许可证</w:t>
            </w:r>
          </w:p>
        </w:tc>
        <w:tc>
          <w:tcPr>
            <w:tcW w:w="8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食品生产许可（保健食品、婴幼儿配方乳粉、特殊医学用途配方食品）</w:t>
            </w:r>
          </w:p>
        </w:tc>
        <w:tc>
          <w:tcPr>
            <w:tcW w:w="6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广东省市场监督管理局</w:t>
            </w:r>
          </w:p>
        </w:tc>
        <w:tc>
          <w:tcPr>
            <w:tcW w:w="97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《中华人民共和国食品安全法》</w:t>
            </w:r>
          </w:p>
        </w:tc>
        <w:tc>
          <w:tcPr>
            <w:tcW w:w="87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省级市场监管部门</w:t>
            </w:r>
          </w:p>
        </w:tc>
        <w:tc>
          <w:tcPr>
            <w:tcW w:w="85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48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严格执行有关法律法规和标准，落实风险分级分类监管制度，加大监督检查和抽检力度，发现违法违规行为的要依法严查重处并公开结果。2.加强信用监管，向社会公布食品生产企业信用状况，对失信主体开展联合惩戒。</w:t>
            </w:r>
          </w:p>
        </w:tc>
        <w:tc>
          <w:tcPr>
            <w:tcW w:w="82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Style w:val="7"/>
                <w:lang w:val="en-US" w:eastAsia="zh-CN"/>
              </w:rPr>
              <w:t>特殊食品化妆品科、信用监督科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312" w:hRule="atLeast"/>
          <w:jc w:val="center"/>
        </w:trPr>
        <w:tc>
          <w:tcPr>
            <w:tcW w:w="462"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66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97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5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70"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250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2485"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宋体" w:hAnsi="宋体" w:eastAsia="宋体" w:cs="宋体"/>
                <w:i w:val="0"/>
                <w:color w:val="000000"/>
                <w:sz w:val="20"/>
                <w:szCs w:val="20"/>
                <w:u w:val="none"/>
              </w:rPr>
            </w:pPr>
          </w:p>
        </w:tc>
        <w:tc>
          <w:tcPr>
            <w:tcW w:w="826" w:type="dxa"/>
            <w:vMerge w:val="continue"/>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1771"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17</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特种设备检验检测机构核准</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特种设备检验检测机构核准证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特种设备检验检测机构资格核准</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《中华人民共和国特种设备安全法》《特种设备安全监察条例》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市场监管总局；省级市场监管部门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1.开展“双随机、一公开”监管，发现违法违规行为的要依法查处并公开结果。2.对有投诉举报和质量问题的企业实施重点监管。</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特种机电设备科、特种承压设备科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2613"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18</w:t>
            </w:r>
          </w:p>
        </w:tc>
        <w:tc>
          <w:tcPr>
            <w:tcW w:w="8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w:t>
            </w: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特种设备生产单位许可</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特种设备制造许可证、特种设备设计许可证、特种设备安装改造维修许可证</w:t>
            </w:r>
          </w:p>
        </w:tc>
        <w:tc>
          <w:tcPr>
            <w:tcW w:w="84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特种设备制造单位资格许可</w:t>
            </w: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《中华人民共和国特种设备安全法》《国务院对确需保留的行政审批项目设定行政许可的决定》《特种设备安全监察条例》</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市场监管总局；省级市场监管部门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仿宋_GB2312" w:hAnsi="宋体" w:eastAsia="仿宋_GB2312" w:cs="仿宋_GB2312"/>
                <w:i w:val="0"/>
                <w:color w:val="000000"/>
                <w:sz w:val="20"/>
                <w:szCs w:val="20"/>
                <w:u w:val="none"/>
              </w:rPr>
            </w:pPr>
            <w:r>
              <w:rPr>
                <w:rFonts w:hint="eastAsia" w:ascii="宋体" w:hAnsi="宋体" w:eastAsia="宋体" w:cs="宋体"/>
                <w:i w:val="0"/>
                <w:color w:val="000000"/>
                <w:kern w:val="0"/>
                <w:sz w:val="20"/>
                <w:szCs w:val="20"/>
                <w:u w:val="none"/>
                <w:lang w:val="en-US" w:eastAsia="zh-CN"/>
              </w:rPr>
              <w:t>由省级事项主管部门制定相应措施实施。</w:t>
            </w:r>
          </w:p>
        </w:tc>
        <w:tc>
          <w:tcPr>
            <w:tcW w:w="2485" w:type="dxa"/>
            <w:tcBorders>
              <w:tl2br w:val="nil"/>
              <w:tr2bl w:val="nil"/>
            </w:tcBorders>
            <w:noWrap w:val="0"/>
            <w:vAlign w:val="center"/>
          </w:tcPr>
          <w:p>
            <w:pPr>
              <w:widowControl/>
              <w:wordWrap/>
              <w:adjustRightInd/>
              <w:snapToGrid/>
              <w:spacing w:line="24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1.开展“双随机、一公开”监管，发现违法违规行为的要依法查处并公开结果。2.对有投诉举报和质量问题的企业实施重点监管。</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特种机电设备科、特种承压设备科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3330" w:hRule="atLeast"/>
          <w:jc w:val="center"/>
        </w:trPr>
        <w:tc>
          <w:tcPr>
            <w:tcW w:w="462"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19</w:t>
            </w:r>
          </w:p>
        </w:tc>
        <w:tc>
          <w:tcPr>
            <w:tcW w:w="82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102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食品生产加工小作坊登记</w:t>
            </w:r>
          </w:p>
        </w:tc>
        <w:tc>
          <w:tcPr>
            <w:tcW w:w="84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84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66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广东省市场监督管理局</w:t>
            </w:r>
          </w:p>
        </w:tc>
        <w:tc>
          <w:tcPr>
            <w:tcW w:w="97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《广东省食品生产加工小作坊和食品摊贩管理条例》（广东省第十二届人民代表大会常务委员公告第38号）</w:t>
            </w:r>
          </w:p>
        </w:tc>
        <w:tc>
          <w:tcPr>
            <w:tcW w:w="870"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县级市场监管部门</w:t>
            </w:r>
          </w:p>
        </w:tc>
        <w:tc>
          <w:tcPr>
            <w:tcW w:w="85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中山市市场监督管理局</w:t>
            </w:r>
          </w:p>
        </w:tc>
        <w:tc>
          <w:tcPr>
            <w:tcW w:w="570"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85"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center"/>
              <w:outlineLvl w:val="9"/>
              <w:rPr>
                <w:rFonts w:hint="eastAsia" w:ascii="宋体" w:hAnsi="宋体" w:eastAsia="宋体" w:cs="宋体"/>
                <w:i w:val="0"/>
                <w:color w:val="000000"/>
                <w:sz w:val="20"/>
                <w:szCs w:val="20"/>
                <w:u w:val="none"/>
              </w:rPr>
            </w:pPr>
          </w:p>
        </w:tc>
        <w:tc>
          <w:tcPr>
            <w:tcW w:w="525" w:type="dxa"/>
            <w:tcBorders>
              <w:tl2br w:val="nil"/>
              <w:tr2bl w:val="nil"/>
            </w:tcBorders>
            <w:noWrap w:val="0"/>
            <w:vAlign w:val="center"/>
          </w:tcPr>
          <w:p>
            <w:pPr>
              <w:widowControl/>
              <w:wordWrap/>
              <w:adjustRightInd/>
              <w:snapToGrid/>
              <w:spacing w:line="240" w:lineRule="exact"/>
              <w:ind w:left="0" w:leftChars="0" w:right="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p>
        </w:tc>
        <w:tc>
          <w:tcPr>
            <w:tcW w:w="2505" w:type="dxa"/>
            <w:tcBorders>
              <w:tl2br w:val="nil"/>
              <w:tr2bl w:val="nil"/>
            </w:tcBorders>
            <w:noWrap w:val="0"/>
            <w:vAlign w:val="center"/>
          </w:tcPr>
          <w:p>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1.完善食品小作坊法律法规与制度。2.完善食品小作坊登记制度，优化食品小作坊登记程序，精简申报材料、压缩工作时限。3.完善食品小作坊信息化管理，逐步推进食品小作坊登记全流程网上办理与电子登记证。</w:t>
            </w:r>
          </w:p>
        </w:tc>
        <w:tc>
          <w:tcPr>
            <w:tcW w:w="2485" w:type="dxa"/>
            <w:tcBorders>
              <w:tl2br w:val="nil"/>
              <w:tr2bl w:val="nil"/>
            </w:tcBorders>
            <w:noWrap w:val="0"/>
            <w:vAlign w:val="center"/>
          </w:tcPr>
          <w:p>
            <w:pPr>
              <w:widowControl/>
              <w:wordWrap/>
              <w:adjustRightInd/>
              <w:snapToGrid/>
              <w:spacing w:line="220" w:lineRule="exact"/>
              <w:ind w:left="0" w:leftChars="0" w:right="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1.建立食品小作坊禁止生产加工目录动态调整机制。 2.建立推行食品小作坊监管与抽检计划向社会公示制度。3.强化食品小作坊风险隐患排查。                          4.实施食品小作坊风险分类管理。                        5.严查食品小作坊违法违规行为。                       6.强化食品小作坊规范指导。  7.推进食品小作坊集中加工区建设。                     8.落实食品小作坊食品安全各方责任。9.推动食品小作坊社会共治。       </w:t>
            </w:r>
          </w:p>
        </w:tc>
        <w:tc>
          <w:tcPr>
            <w:tcW w:w="826" w:type="dxa"/>
            <w:tcBorders>
              <w:tl2br w:val="nil"/>
              <w:tr2bl w:val="nil"/>
            </w:tcBorders>
            <w:noWrap w:val="0"/>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Times New Roman" w:hAnsi="Times New Roman" w:eastAsia="宋体" w:cs="Times New Roman"/>
                <w:i w:val="0"/>
                <w:color w:val="000000"/>
                <w:sz w:val="21"/>
                <w:szCs w:val="21"/>
                <w:u w:val="none"/>
                <w:lang w:eastAsia="zh-CN"/>
              </w:rPr>
            </w:pPr>
            <w:r>
              <w:rPr>
                <w:rFonts w:hint="eastAsia" w:ascii="宋体" w:hAnsi="宋体" w:eastAsia="宋体" w:cs="宋体"/>
                <w:i w:val="0"/>
                <w:color w:val="000000"/>
                <w:sz w:val="20"/>
                <w:szCs w:val="20"/>
                <w:u w:val="none"/>
                <w:lang w:eastAsia="zh-CN"/>
              </w:rPr>
              <w:t>审批办、食品生产科</w:t>
            </w:r>
          </w:p>
        </w:tc>
      </w:tr>
    </w:tbl>
    <w:p>
      <w:pPr>
        <w:rPr>
          <w:rFonts w:hint="default" w:eastAsia="仿宋"/>
          <w:lang w:val="en-US" w:eastAsia="zh-CN"/>
        </w:rPr>
      </w:pPr>
    </w:p>
    <w:sectPr>
      <w:footerReference r:id="rId3" w:type="default"/>
      <w:pgSz w:w="16838" w:h="11906" w:orient="landscape"/>
      <w:pgMar w:top="816" w:right="1440" w:bottom="1417" w:left="1440" w:header="851" w:footer="992" w:gutter="0"/>
      <w:paperSrc/>
      <w:pgNumType w:fmt="numberInDash"/>
      <w:cols w:space="0" w:num="1"/>
      <w:rtlGutter w:val="0"/>
      <w:docGrid w:type="linesAndChars" w:linePitch="581" w:charSpace="-36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6698"/>
    <w:rsid w:val="132A3D88"/>
    <w:rsid w:val="4A956698"/>
    <w:rsid w:val="7707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font51"/>
    <w:basedOn w:val="6"/>
    <w:qFormat/>
    <w:uiPriority w:val="0"/>
    <w:rPr>
      <w:rFonts w:hint="eastAsia" w:ascii="宋体" w:hAnsi="宋体" w:eastAsia="宋体" w:cs="宋体"/>
      <w:color w:val="000000"/>
      <w:sz w:val="20"/>
      <w:szCs w:val="20"/>
      <w:u w:val="none"/>
    </w:rPr>
  </w:style>
  <w:style w:type="paragraph" w:customStyle="1" w:styleId="8">
    <w:name w:val="List Paragraph"/>
    <w:basedOn w:val="1"/>
    <w:qFormat/>
    <w:uiPriority w:val="34"/>
    <w:pPr>
      <w:ind w:firstLine="420" w:firstLineChars="200"/>
    </w:pPr>
  </w:style>
  <w:style w:type="character" w:customStyle="1" w:styleId="9">
    <w:name w:val="16"/>
    <w:basedOn w:val="6"/>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2020-05-09T06:12:00Z</dcterms:created>
  <dc:creator>於晓燕</dc:creator>
  <cp:lastModifiedBy>於晓燕</cp:lastModifiedBy>
  <cp:lastPrinted>2020-05-09T06:38:51Z</cp:lastPrinted>
  <dcterms:modified xsi:type="dcterms:W3CDTF">2020-05-09T06:40:18Z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