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Cs/>
          <w:color w:val="auto"/>
          <w:szCs w:val="32"/>
          <w:lang w:eastAsia="zh-CN"/>
        </w:rPr>
      </w:pPr>
      <w:r>
        <w:rPr>
          <w:rFonts w:hint="eastAsia" w:ascii="黑体" w:hAnsi="黑体" w:eastAsia="黑体"/>
          <w:color w:val="auto"/>
        </w:rPr>
        <w:t>附件</w:t>
      </w:r>
      <w:r>
        <w:rPr>
          <w:rFonts w:hint="eastAsia" w:ascii="黑体" w:hAnsi="黑体" w:eastAsia="黑体"/>
          <w:color w:val="auto"/>
          <w:lang w:val="en-US" w:eastAsia="zh-CN"/>
        </w:rPr>
        <w:t>1</w:t>
      </w:r>
    </w:p>
    <w:p>
      <w:pPr>
        <w:spacing w:after="120" w:afterLines="5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本次</w:t>
      </w:r>
      <w:r>
        <w:rPr>
          <w:rFonts w:hint="eastAsia" w:ascii="方正小标宋简体" w:hAnsi="方正小标宋简体" w:eastAsia="方正小标宋简体" w:cs="方正小标宋简体"/>
          <w:color w:val="auto"/>
          <w:sz w:val="44"/>
          <w:szCs w:val="44"/>
        </w:rPr>
        <w:t>检验项目</w:t>
      </w:r>
    </w:p>
    <w:tbl>
      <w:tblPr>
        <w:tblStyle w:val="3"/>
        <w:tblW w:w="14252" w:type="dxa"/>
        <w:tblInd w:w="0" w:type="dxa"/>
        <w:tblLayout w:type="fixed"/>
        <w:tblCellMar>
          <w:top w:w="15" w:type="dxa"/>
          <w:left w:w="15" w:type="dxa"/>
          <w:bottom w:w="15" w:type="dxa"/>
          <w:right w:w="15" w:type="dxa"/>
        </w:tblCellMar>
      </w:tblPr>
      <w:tblGrid>
        <w:gridCol w:w="1628"/>
        <w:gridCol w:w="972"/>
        <w:gridCol w:w="1260"/>
        <w:gridCol w:w="7573"/>
        <w:gridCol w:w="2819"/>
      </w:tblGrid>
      <w:tr>
        <w:tblPrEx>
          <w:tblLayout w:type="fixed"/>
          <w:tblCellMar>
            <w:top w:w="15" w:type="dxa"/>
            <w:left w:w="15" w:type="dxa"/>
            <w:bottom w:w="15" w:type="dxa"/>
            <w:right w:w="15" w:type="dxa"/>
          </w:tblCellMar>
        </w:tblPrEx>
        <w:trPr>
          <w:trHeight w:val="375" w:hRule="atLeast"/>
          <w:tblHeader/>
        </w:trPr>
        <w:tc>
          <w:tcPr>
            <w:tcW w:w="162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产品类别</w:t>
            </w: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类别</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检测指标</w:t>
            </w:r>
          </w:p>
        </w:tc>
        <w:tc>
          <w:tcPr>
            <w:tcW w:w="28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检验依据</w:t>
            </w:r>
          </w:p>
        </w:tc>
      </w:tr>
      <w:tr>
        <w:tblPrEx>
          <w:tblLayout w:type="fixed"/>
          <w:tblCellMar>
            <w:top w:w="15" w:type="dxa"/>
            <w:left w:w="15" w:type="dxa"/>
            <w:bottom w:w="15" w:type="dxa"/>
            <w:right w:w="15" w:type="dxa"/>
          </w:tblCellMar>
        </w:tblPrEx>
        <w:trPr>
          <w:trHeight w:val="490" w:hRule="atLeast"/>
        </w:trPr>
        <w:tc>
          <w:tcPr>
            <w:tcW w:w="162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保健食品</w:t>
            </w:r>
          </w:p>
          <w:p>
            <w:pPr>
              <w:spacing w:line="400" w:lineRule="exact"/>
              <w:jc w:val="center"/>
              <w:rPr>
                <w:rFonts w:hint="eastAsia" w:ascii="宋体" w:hAnsi="宋体" w:eastAsia="宋体" w:cs="宋体"/>
                <w:color w:val="auto"/>
                <w:sz w:val="22"/>
                <w:szCs w:val="22"/>
              </w:rPr>
            </w:pP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营养素补充剂类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营养素</w:t>
            </w:r>
          </w:p>
        </w:tc>
        <w:tc>
          <w:tcPr>
            <w:tcW w:w="281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《食品安全国家标准 保健食品》（GB16740）、《企业产品质量标准》、国家食品药品监督管理总局颁布的补充检验方法和检验项目批准件所附质量标准</w:t>
            </w:r>
          </w:p>
        </w:tc>
      </w:tr>
      <w:tr>
        <w:tblPrEx>
          <w:tblLayout w:type="fixed"/>
          <w:tblCellMar>
            <w:top w:w="15" w:type="dxa"/>
            <w:left w:w="15" w:type="dxa"/>
            <w:bottom w:w="15" w:type="dxa"/>
            <w:right w:w="15" w:type="dxa"/>
          </w:tblCellMar>
        </w:tblPrEx>
        <w:trPr>
          <w:trHeight w:val="725" w:hRule="atLeast"/>
        </w:trPr>
        <w:tc>
          <w:tcPr>
            <w:tcW w:w="1628"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c>
          <w:tcPr>
            <w:tcW w:w="2232"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保健功能类产品</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功效/标志性成分，并根据产品特点选做重金属（铅、砷、汞）、微生物（菌落总数、大肠菌群、霉菌和酵母、金黄色葡萄球菌、沙门氏菌）、酸价、过氧化值等指标，</w:t>
            </w:r>
          </w:p>
        </w:tc>
        <w:tc>
          <w:tcPr>
            <w:tcW w:w="281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r>
      <w:tr>
        <w:tblPrEx>
          <w:tblLayout w:type="fixed"/>
          <w:tblCellMar>
            <w:top w:w="15" w:type="dxa"/>
            <w:left w:w="15" w:type="dxa"/>
            <w:bottom w:w="15" w:type="dxa"/>
            <w:right w:w="15" w:type="dxa"/>
          </w:tblCellMar>
        </w:tblPrEx>
        <w:trPr>
          <w:trHeight w:val="730" w:hRule="atLeast"/>
        </w:trPr>
        <w:tc>
          <w:tcPr>
            <w:tcW w:w="1628"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c>
          <w:tcPr>
            <w:tcW w:w="972" w:type="dxa"/>
            <w:vMerge w:val="restart"/>
            <w:tcBorders>
              <w:top w:val="single" w:color="auto" w:sz="4" w:space="0"/>
              <w:left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重点品种</w:t>
            </w:r>
          </w:p>
          <w:p>
            <w:pPr>
              <w:widowControl/>
              <w:spacing w:line="4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（同时检测非法添加物）</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通便类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盐酸西布曲明、芬氟拉明、酚酞、麻黄碱、N-单去甲基西布曲明、N，N-双去甲基西布曲明、呋塞米、匹可硫酸钠</w:t>
            </w:r>
          </w:p>
        </w:tc>
        <w:tc>
          <w:tcPr>
            <w:tcW w:w="281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r>
      <w:tr>
        <w:tblPrEx>
          <w:tblLayout w:type="fixed"/>
          <w:tblCellMar>
            <w:top w:w="15" w:type="dxa"/>
            <w:left w:w="15" w:type="dxa"/>
            <w:bottom w:w="15" w:type="dxa"/>
            <w:right w:w="15" w:type="dxa"/>
          </w:tblCellMar>
        </w:tblPrEx>
        <w:trPr>
          <w:trHeight w:val="555" w:hRule="atLeast"/>
        </w:trPr>
        <w:tc>
          <w:tcPr>
            <w:tcW w:w="1628"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辅助降血脂类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洛伐他汀、辛伐他汀</w:t>
            </w:r>
          </w:p>
        </w:tc>
        <w:tc>
          <w:tcPr>
            <w:tcW w:w="281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r>
      <w:tr>
        <w:tblPrEx>
          <w:tblLayout w:type="fixed"/>
          <w:tblCellMar>
            <w:top w:w="15" w:type="dxa"/>
            <w:left w:w="15" w:type="dxa"/>
            <w:bottom w:w="15" w:type="dxa"/>
            <w:right w:w="15" w:type="dxa"/>
          </w:tblCellMar>
        </w:tblPrEx>
        <w:trPr>
          <w:trHeight w:val="1275" w:hRule="atLeast"/>
        </w:trPr>
        <w:tc>
          <w:tcPr>
            <w:tcW w:w="1628"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增强免疫力类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伐地那非、西地那非、他达拉非、那红地那非、红地那非、羟基豪莫西地那非、豪莫西地那非、氨基他达拉非、硫代艾地那非、伪伐地那非和那莫西地那非等PDE5型（磷酸二酯酶5型）抑制剂</w:t>
            </w:r>
          </w:p>
        </w:tc>
        <w:tc>
          <w:tcPr>
            <w:tcW w:w="2819" w:type="dxa"/>
            <w:vMerge w:val="continue"/>
            <w:tcBorders>
              <w:left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r>
      <w:tr>
        <w:tblPrEx>
          <w:tblLayout w:type="fixed"/>
          <w:tblCellMar>
            <w:top w:w="15" w:type="dxa"/>
            <w:left w:w="15" w:type="dxa"/>
            <w:bottom w:w="15" w:type="dxa"/>
            <w:right w:w="15" w:type="dxa"/>
          </w:tblCellMar>
        </w:tblPrEx>
        <w:trPr>
          <w:trHeight w:val="570" w:hRule="atLeast"/>
        </w:trPr>
        <w:tc>
          <w:tcPr>
            <w:tcW w:w="1628"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sz w:val="22"/>
                <w:szCs w:val="22"/>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辅助降血压类</w:t>
            </w:r>
          </w:p>
        </w:tc>
        <w:tc>
          <w:tcPr>
            <w:tcW w:w="75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氨氯地平、阿替洛尔、盐酸可乐定、氢氯噻嗪、卡托普利、哌唑嗪、利血平、硝苯地平、尼群地平、尼莫地平、尼索地平、非洛地平</w:t>
            </w:r>
          </w:p>
        </w:tc>
        <w:tc>
          <w:tcPr>
            <w:tcW w:w="281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auto"/>
                <w:sz w:val="22"/>
                <w:szCs w:val="22"/>
              </w:rPr>
            </w:pPr>
          </w:p>
        </w:tc>
      </w:tr>
    </w:tbl>
    <w:p>
      <w:pPr>
        <w:rPr>
          <w:color w:val="auto"/>
          <w:sz w:val="22"/>
          <w:szCs w:val="22"/>
        </w:rPr>
      </w:pPr>
    </w:p>
    <w:p>
      <w:pPr>
        <w:widowControl/>
        <w:jc w:val="left"/>
        <w:rPr>
          <w:rFonts w:hint="eastAsia"/>
          <w:color w:val="auto"/>
        </w:rPr>
        <w:sectPr>
          <w:pgSz w:w="16820" w:h="11910" w:orient="landscape"/>
          <w:pgMar w:top="1800" w:right="1440" w:bottom="1800" w:left="1440" w:header="0" w:footer="1100" w:gutter="0"/>
          <w:pgNumType w:fmt="decimal"/>
          <w:cols w:space="720" w:num="1"/>
          <w:docGrid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C2B2A"/>
    <w:rsid w:val="01E607EC"/>
    <w:rsid w:val="097642D2"/>
    <w:rsid w:val="160F41E3"/>
    <w:rsid w:val="29586E7D"/>
    <w:rsid w:val="2BC368C8"/>
    <w:rsid w:val="2C650FE9"/>
    <w:rsid w:val="2D5700AE"/>
    <w:rsid w:val="39FD6E48"/>
    <w:rsid w:val="3AC5662C"/>
    <w:rsid w:val="46E60828"/>
    <w:rsid w:val="4E4C2B2A"/>
    <w:rsid w:val="511751FB"/>
    <w:rsid w:val="57870F24"/>
    <w:rsid w:val="640A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2020-08-20T02:23:00Z</dcterms:created>
  <dc:creator>吴靖雯</dc:creator>
  <cp:lastModifiedBy>吴靖雯</cp:lastModifiedBy>
  <dcterms:modified xsi:type="dcterms:W3CDTF">2020-09-21T01:34:05Z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