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中山市行业协会商会乱收费专项清理整治自查自纠表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社会组织名称（盖章）：                          报送日期：   年   月   日</w:t>
      </w:r>
    </w:p>
    <w:tbl>
      <w:tblPr>
        <w:tblStyle w:val="3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7"/>
        <w:gridCol w:w="742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专项清理整治内容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自查自纠情况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一、收取会费情况（会费分几个层级、全年收取总金额）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二、会费开支情况（包括近两年用于会员活动、会员服务的金额）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三、是否设立分支机构或代表机构（具体列出名单）、是否多头收取会费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四、是否有“收费返成”情况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五、是否有行政机关委托、授权违规收费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六、是否有评比达标表彰活动收费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七、是否有职业资格认定收费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八、组织会议、培训、考试、展览、评比评选、考察等收费活动情况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九、是否强制会员提供赞助、捐赠、订购有关产品或刊物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十、是否有以设立分支机构、代表机构的名义收取或者变相收取管理费、 赞助费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十一、是否有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以担任理事、常务理事、负责人为名向会员收取除会费以外的其他费用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十二、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会费标准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按规定程序制定或修改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经营服务性收费项目的收费标准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按照规定程序制定或修改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十四、是否有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实行市场调节价的经营服务性收费项目收费标准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不合理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十五、是否存在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其他企业和群众反映强烈的乱收费行为</w:t>
            </w:r>
          </w:p>
        </w:tc>
        <w:tc>
          <w:tcPr>
            <w:tcW w:w="7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3AA8"/>
    <w:rsid w:val="1A8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2021-07-29T01:30:00Z</dcterms:created>
  <dc:creator>西米露</dc:creator>
  <cp:lastModifiedBy>西米露</cp:lastModifiedBy>
  <dcterms:modified xsi:type="dcterms:W3CDTF">2021-07-29T01:30:59Z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FA6CA0B7543841AB8CB37CA8909095C0</vt:lpwstr>
  </property>
</Properties>
</file>