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中山市</w:t>
      </w:r>
      <w:r>
        <w:rPr>
          <w:rFonts w:hint="eastAsia" w:ascii="方正小标宋简体" w:hAnsi="方正小标宋简体" w:eastAsia="方正小标宋简体" w:cs="方正小标宋简体"/>
          <w:sz w:val="44"/>
          <w:szCs w:val="44"/>
          <w:lang w:eastAsia="zh-CN"/>
        </w:rPr>
        <w:t>商务领域免于行政检查和减少</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行政检查频次</w:t>
      </w:r>
      <w:r>
        <w:rPr>
          <w:rFonts w:hint="eastAsia" w:ascii="方正小标宋简体" w:hAnsi="方正小标宋简体" w:eastAsia="方正小标宋简体" w:cs="方正小标宋简体"/>
          <w:sz w:val="44"/>
          <w:szCs w:val="44"/>
        </w:rPr>
        <w:t>清单</w:t>
      </w:r>
      <w:r>
        <w:rPr>
          <w:rFonts w:hint="default" w:ascii="方正小标宋简体" w:hAnsi="方正小标宋简体" w:eastAsia="方正小标宋简体" w:cs="方正小标宋简体"/>
          <w:sz w:val="44"/>
          <w:szCs w:val="44"/>
          <w:lang w:val="en"/>
        </w:rPr>
        <w:t>（试行）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解读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ascii="仿宋" w:hAnsi="仿宋" w:eastAsia="仿宋" w:cs="新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新宋体"/>
          <w:color w:val="000000"/>
          <w:sz w:val="32"/>
          <w:szCs w:val="32"/>
          <w:u w:val="none"/>
        </w:rPr>
      </w:pPr>
      <w:r>
        <w:rPr>
          <w:rFonts w:hint="eastAsia" w:ascii="仿宋_GB2312" w:hAnsi="仿宋_GB2312" w:eastAsia="仿宋_GB2312" w:cs="仿宋_GB2312"/>
          <w:color w:val="000000"/>
          <w:sz w:val="32"/>
          <w:szCs w:val="32"/>
          <w:u w:val="none"/>
          <w:lang w:eastAsia="zh-CN"/>
        </w:rPr>
        <w:t>市商务</w:t>
      </w:r>
      <w:r>
        <w:rPr>
          <w:rFonts w:hint="eastAsia" w:ascii="仿宋_GB2312" w:hAnsi="仿宋_GB2312" w:eastAsia="仿宋_GB2312" w:cs="仿宋_GB2312"/>
          <w:color w:val="000000"/>
          <w:sz w:val="32"/>
          <w:szCs w:val="32"/>
          <w:u w:val="none"/>
        </w:rPr>
        <w:t>局制定了《</w:t>
      </w:r>
      <w:r>
        <w:rPr>
          <w:rFonts w:hint="eastAsia" w:ascii="仿宋_GB2312" w:hAnsi="仿宋_GB2312" w:eastAsia="仿宋_GB2312" w:cs="仿宋_GB2312"/>
          <w:sz w:val="32"/>
          <w:szCs w:val="32"/>
          <w:u w:val="none"/>
          <w:lang w:val="en-US" w:eastAsia="zh-CN"/>
        </w:rPr>
        <w:t>中山市商务领域免于行政检查和减少行政检查频次清单（试行）</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b w:val="0"/>
          <w:bCs/>
          <w:color w:val="auto"/>
          <w:kern w:val="2"/>
          <w:sz w:val="32"/>
          <w:szCs w:val="32"/>
          <w:highlight w:val="none"/>
          <w:u w:val="none"/>
          <w:lang w:val="en-US" w:eastAsia="zh-CN" w:bidi="ar-SA"/>
        </w:rPr>
        <w:t>本清单自2021年12月1日起实施，</w:t>
      </w:r>
      <w:r>
        <w:rPr>
          <w:rFonts w:hint="eastAsia" w:ascii="仿宋_GB2312" w:hAnsi="仿宋_GB2312" w:eastAsia="仿宋_GB2312" w:cs="仿宋_GB2312"/>
          <w:b w:val="0"/>
          <w:bCs/>
          <w:snapToGrid w:val="0"/>
          <w:color w:val="auto"/>
          <w:kern w:val="0"/>
          <w:sz w:val="32"/>
          <w:szCs w:val="32"/>
          <w:highlight w:val="none"/>
          <w:u w:val="none"/>
          <w:lang w:val="en-US" w:eastAsia="zh-CN"/>
        </w:rPr>
        <w:t>有效期3年。</w:t>
      </w:r>
      <w:r>
        <w:rPr>
          <w:rFonts w:hint="eastAsia" w:ascii="仿宋_GB2312" w:hAnsi="仿宋_GB2312" w:eastAsia="仿宋_GB2312" w:cs="仿宋_GB2312"/>
          <w:color w:val="000000"/>
          <w:sz w:val="32"/>
          <w:szCs w:val="32"/>
          <w:u w:val="none"/>
          <w:lang w:eastAsia="zh-CN"/>
        </w:rPr>
        <w:t>根据规范性文件“三统一”要求，制定本解读。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黑体" w:hAnsi="黑体" w:eastAsia="黑体" w:cs="新宋体"/>
          <w:color w:val="000000"/>
          <w:sz w:val="32"/>
          <w:szCs w:val="32"/>
        </w:rPr>
      </w:pPr>
      <w:r>
        <w:rPr>
          <w:rFonts w:hint="eastAsia" w:ascii="黑体" w:hAnsi="黑体" w:eastAsia="黑体" w:cs="新宋体"/>
          <w:color w:val="000000"/>
          <w:sz w:val="32"/>
          <w:szCs w:val="32"/>
        </w:rPr>
        <w:t>一、制定背景说明</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为进一步优化营商环境，</w:t>
      </w:r>
      <w:r>
        <w:rPr>
          <w:rFonts w:hint="eastAsia" w:ascii="仿宋_GB2312" w:hAnsi="仿宋_GB2312" w:eastAsia="仿宋_GB2312" w:cs="仿宋_GB2312"/>
          <w:sz w:val="32"/>
          <w:szCs w:val="32"/>
          <w:lang w:eastAsia="zh-CN"/>
        </w:rPr>
        <w:t>推行服务型执法理念，</w:t>
      </w:r>
      <w:r>
        <w:rPr>
          <w:rFonts w:hint="eastAsia" w:ascii="仿宋_GB2312" w:hAnsi="仿宋_GB2312" w:eastAsia="仿宋_GB2312" w:cs="仿宋_GB2312"/>
          <w:sz w:val="32"/>
          <w:szCs w:val="32"/>
        </w:rPr>
        <w:t>实施包容审慎监管，</w:t>
      </w:r>
      <w:r>
        <w:rPr>
          <w:rFonts w:hint="eastAsia" w:ascii="仿宋_GB2312" w:hAnsi="仿宋_GB2312" w:eastAsia="仿宋_GB2312" w:cs="仿宋_GB2312"/>
          <w:sz w:val="32"/>
          <w:szCs w:val="32"/>
          <w:lang w:val="en-US" w:eastAsia="zh-CN"/>
        </w:rPr>
        <w:t>助推柔性行政执法工作见成效、出实绩，</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《国务院关于做好自由贸易试验区第六批改革试点经验复制推广工作的通知》</w:t>
      </w:r>
      <w:r>
        <w:rPr>
          <w:rFonts w:hint="eastAsia" w:ascii="仿宋_GB2312" w:hAnsi="仿宋_GB2312" w:eastAsia="仿宋_GB2312" w:cs="仿宋_GB2312"/>
          <w:sz w:val="32"/>
          <w:szCs w:val="32"/>
          <w:u w:val="none"/>
          <w:lang w:val="en-US" w:eastAsia="zh-CN"/>
        </w:rPr>
        <w:t>（国函〔2020〕96号）、《广东省行政检查办法》、中山市依法行政工作领导小组办公室</w:t>
      </w:r>
      <w:r>
        <w:rPr>
          <w:rFonts w:hint="eastAsia" w:ascii="仿宋_GB2312" w:hAnsi="仿宋_GB2312" w:eastAsia="仿宋_GB2312" w:cs="仿宋_GB2312"/>
          <w:sz w:val="32"/>
          <w:szCs w:val="32"/>
          <w:u w:val="none"/>
          <w:lang w:eastAsia="zh-CN"/>
        </w:rPr>
        <w:t>《关于印发〈中山市推进“包容审慎行政执法”工作实施方案〉的通知》（中法行办〔</w:t>
      </w:r>
      <w:r>
        <w:rPr>
          <w:rFonts w:hint="eastAsia" w:ascii="仿宋_GB2312" w:hAnsi="仿宋_GB2312" w:eastAsia="仿宋_GB2312" w:cs="仿宋_GB2312"/>
          <w:sz w:val="32"/>
          <w:szCs w:val="32"/>
          <w:u w:val="none"/>
          <w:lang w:val="en-US" w:eastAsia="zh-CN"/>
        </w:rPr>
        <w:t>2021</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1号</w:t>
      </w:r>
      <w:r>
        <w:rPr>
          <w:rFonts w:hint="eastAsia" w:ascii="仿宋_GB2312" w:hAnsi="仿宋_GB2312" w:eastAsia="仿宋_GB2312" w:cs="仿宋_GB2312"/>
          <w:sz w:val="32"/>
          <w:szCs w:val="32"/>
          <w:u w:val="none"/>
          <w:lang w:eastAsia="zh-CN"/>
        </w:rPr>
        <w:t>）等规定</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结合我市商务工作实际，</w:t>
      </w:r>
      <w:r>
        <w:rPr>
          <w:rFonts w:hint="eastAsia" w:ascii="仿宋_GB2312" w:hAnsi="仿宋_GB2312" w:eastAsia="仿宋_GB2312" w:cs="仿宋_GB2312"/>
          <w:sz w:val="32"/>
          <w:szCs w:val="32"/>
          <w:u w:val="none"/>
        </w:rPr>
        <w:t>制定本清单。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黑体" w:hAnsi="黑体" w:eastAsia="黑体" w:cs="新宋体"/>
          <w:color w:val="000000"/>
          <w:sz w:val="32"/>
          <w:szCs w:val="32"/>
        </w:rPr>
      </w:pPr>
      <w:r>
        <w:rPr>
          <w:rFonts w:hint="eastAsia" w:ascii="黑体" w:hAnsi="黑体" w:eastAsia="黑体" w:cs="新宋体"/>
          <w:color w:val="000000"/>
          <w:sz w:val="32"/>
          <w:szCs w:val="32"/>
        </w:rPr>
        <w:t>二、主要内容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本文包括</w:t>
      </w:r>
      <w:r>
        <w:rPr>
          <w:rFonts w:hint="eastAsia" w:ascii="仿宋_GB2312" w:hAnsi="仿宋_GB2312" w:eastAsia="仿宋_GB2312" w:cs="仿宋_GB2312"/>
          <w:b w:val="0"/>
          <w:i w:val="0"/>
          <w:caps w:val="0"/>
          <w:color w:val="auto"/>
          <w:spacing w:val="0"/>
          <w:sz w:val="32"/>
          <w:szCs w:val="32"/>
          <w:shd w:val="clear" w:color="auto" w:fill="FFFFFF"/>
          <w:lang w:eastAsia="zh-CN"/>
        </w:rPr>
        <w:t>免于行政检查清单和减少行政检查频次清单</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两</w:t>
      </w:r>
      <w:r>
        <w:rPr>
          <w:rFonts w:hint="eastAsia" w:ascii="仿宋_GB2312" w:hAnsi="仿宋_GB2312" w:eastAsia="仿宋_GB2312" w:cs="仿宋_GB2312"/>
          <w:color w:val="000000"/>
          <w:sz w:val="32"/>
          <w:szCs w:val="32"/>
        </w:rPr>
        <w:t>个部分。</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val="0"/>
          <w:i w:val="0"/>
          <w:caps w:val="0"/>
          <w:color w:val="auto"/>
          <w:spacing w:val="0"/>
          <w:sz w:val="32"/>
          <w:szCs w:val="32"/>
          <w:shd w:val="clear" w:color="auto" w:fill="FFFFFF"/>
          <w:lang w:eastAsia="zh-CN"/>
        </w:rPr>
        <w:t>免于行政检查清单</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bCs/>
          <w:sz w:val="32"/>
          <w:szCs w:val="32"/>
          <w:highlight w:val="none"/>
          <w:u w:val="none"/>
          <w:lang w:eastAsia="zh-CN"/>
        </w:rPr>
      </w:pPr>
      <w:r>
        <w:rPr>
          <w:rFonts w:hint="eastAsia" w:ascii="仿宋_GB2312" w:hAnsi="仿宋_GB2312" w:eastAsia="仿宋_GB2312" w:cs="仿宋_GB2312"/>
          <w:bCs/>
          <w:sz w:val="32"/>
          <w:szCs w:val="32"/>
          <w:highlight w:val="none"/>
          <w:u w:val="none"/>
          <w:lang w:val="en-US" w:eastAsia="zh-CN"/>
        </w:rPr>
        <w:t>1.</w:t>
      </w:r>
      <w:r>
        <w:rPr>
          <w:rFonts w:hint="eastAsia" w:ascii="仿宋_GB2312" w:hAnsi="仿宋_GB2312" w:eastAsia="仿宋_GB2312" w:cs="仿宋_GB2312"/>
          <w:bCs/>
          <w:sz w:val="32"/>
          <w:szCs w:val="32"/>
          <w:highlight w:val="none"/>
          <w:u w:val="none"/>
          <w:lang w:eastAsia="zh-CN"/>
        </w:rPr>
        <w:t>外商投资信息报告监督检查类</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color w:val="000000"/>
          <w:sz w:val="32"/>
          <w:szCs w:val="32"/>
        </w:rPr>
        <w:t>（1）</w:t>
      </w:r>
      <w:r>
        <w:rPr>
          <w:rFonts w:hint="eastAsia" w:ascii="仿宋_GB2312" w:hAnsi="仿宋_GB2312" w:eastAsia="仿宋_GB2312" w:cs="仿宋_GB2312"/>
          <w:b w:val="0"/>
          <w:bCs w:val="0"/>
          <w:sz w:val="32"/>
          <w:szCs w:val="32"/>
          <w:highlight w:val="none"/>
          <w:u w:val="none"/>
          <w:lang w:eastAsia="zh-CN"/>
        </w:rPr>
        <w:t>外商投资信息报告监督检查包括</w:t>
      </w:r>
      <w:r>
        <w:rPr>
          <w:rFonts w:hint="eastAsia" w:ascii="仿宋_GB2312" w:hAnsi="仿宋_GB2312" w:eastAsia="仿宋_GB2312" w:cs="仿宋_GB2312"/>
          <w:b w:val="0"/>
          <w:bCs w:val="0"/>
          <w:kern w:val="2"/>
          <w:sz w:val="32"/>
          <w:szCs w:val="32"/>
          <w:highlight w:val="none"/>
          <w:u w:val="none"/>
          <w:lang w:val="en-US" w:eastAsia="zh-CN" w:bidi="ar-SA"/>
        </w:rPr>
        <w:t>“双随机”抽查和专项检查。其中，专项检查包括根据投诉举报、上级交办、其他机关移送等案件线索或者专项整治而开展的检查；</w:t>
      </w:r>
    </w:p>
    <w:p>
      <w:pPr>
        <w:pStyle w:val="2"/>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b w:val="0"/>
          <w:bCs/>
          <w:kern w:val="2"/>
          <w:sz w:val="32"/>
          <w:szCs w:val="32"/>
          <w:highlight w:val="none"/>
          <w:u w:val="none"/>
          <w:lang w:val="en-US" w:eastAsia="zh-CN" w:bidi="ar-SA"/>
        </w:rPr>
      </w:pPr>
      <w:r>
        <w:rPr>
          <w:rFonts w:hint="eastAsia" w:ascii="仿宋_GB2312" w:hAnsi="仿宋_GB2312" w:eastAsia="仿宋_GB2312" w:cs="仿宋_GB2312"/>
          <w:b w:val="0"/>
          <w:bCs/>
          <w:kern w:val="2"/>
          <w:sz w:val="32"/>
          <w:szCs w:val="32"/>
          <w:highlight w:val="none"/>
          <w:u w:val="none"/>
          <w:lang w:val="en-US" w:eastAsia="zh-CN" w:bidi="ar-SA"/>
        </w:rPr>
        <w:t>（2）外国投资者、外商投资企业如免于本年度对其履行信息报告义务情况的“双随机”抽查，下一年度执法人员正常对其开展相关监督检查。</w:t>
      </w:r>
    </w:p>
    <w:p>
      <w:pPr>
        <w:pStyle w:val="2"/>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b w:val="0"/>
          <w:bCs/>
          <w:kern w:val="2"/>
          <w:sz w:val="32"/>
          <w:szCs w:val="32"/>
          <w:highlight w:val="none"/>
          <w:u w:val="none"/>
          <w:lang w:val="en-US" w:eastAsia="zh-CN" w:bidi="ar-SA"/>
        </w:rPr>
      </w:pPr>
      <w:r>
        <w:rPr>
          <w:rFonts w:hint="eastAsia" w:ascii="仿宋_GB2312" w:hAnsi="仿宋_GB2312" w:eastAsia="仿宋_GB2312" w:cs="仿宋_GB2312"/>
          <w:b w:val="0"/>
          <w:bCs/>
          <w:kern w:val="2"/>
          <w:sz w:val="32"/>
          <w:szCs w:val="32"/>
          <w:highlight w:val="none"/>
          <w:u w:val="none"/>
          <w:lang w:val="en-US" w:eastAsia="zh-CN" w:bidi="ar-SA"/>
        </w:rPr>
        <w:t>2.其他类</w:t>
      </w:r>
    </w:p>
    <w:p>
      <w:pPr>
        <w:pStyle w:val="2"/>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kern w:val="2"/>
          <w:sz w:val="32"/>
          <w:szCs w:val="32"/>
          <w:highlight w:val="none"/>
          <w:u w:val="none"/>
          <w:lang w:val="en-US" w:eastAsia="zh-CN" w:bidi="ar-SA"/>
        </w:rPr>
        <w:t>（1）适用对象为</w:t>
      </w:r>
      <w:r>
        <w:rPr>
          <w:rFonts w:hint="eastAsia" w:ascii="Times New Roman" w:hAnsi="Times New Roman" w:eastAsia="仿宋_GB2312" w:cs="Times New Roman"/>
          <w:b w:val="0"/>
          <w:bCs w:val="0"/>
          <w:sz w:val="32"/>
          <w:szCs w:val="32"/>
          <w:highlight w:val="none"/>
          <w:u w:val="none"/>
          <w:lang w:eastAsia="zh-CN"/>
        </w:rPr>
        <w:t>商务领域相关市场主体</w:t>
      </w:r>
      <w:r>
        <w:rPr>
          <w:rFonts w:hint="eastAsia" w:ascii="Times New Roman" w:eastAsia="仿宋_GB2312" w:cs="Times New Roman"/>
          <w:b w:val="0"/>
          <w:bCs w:val="0"/>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b w:val="0"/>
          <w:bCs/>
          <w:kern w:val="2"/>
          <w:sz w:val="32"/>
          <w:szCs w:val="32"/>
          <w:highlight w:val="none"/>
          <w:u w:val="none"/>
          <w:lang w:val="en-US" w:eastAsia="zh-CN" w:bidi="ar-SA"/>
        </w:rPr>
      </w:pPr>
      <w:r>
        <w:rPr>
          <w:rFonts w:hint="eastAsia" w:ascii="仿宋_GB2312" w:hAnsi="仿宋_GB2312" w:eastAsia="仿宋_GB2312" w:cs="仿宋_GB2312"/>
          <w:b w:val="0"/>
          <w:bCs/>
          <w:kern w:val="2"/>
          <w:sz w:val="32"/>
          <w:szCs w:val="32"/>
          <w:highlight w:val="none"/>
          <w:u w:val="none"/>
          <w:lang w:val="en-US" w:eastAsia="zh-CN" w:bidi="ar-SA"/>
        </w:rPr>
        <w:t>（2）商务领域法定抽查事项的法律责任规定最高不超过罚款3万元，含3万元；</w:t>
      </w:r>
    </w:p>
    <w:p>
      <w:pPr>
        <w:pStyle w:val="2"/>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b w:val="0"/>
          <w:bCs/>
          <w:kern w:val="2"/>
          <w:sz w:val="32"/>
          <w:szCs w:val="32"/>
          <w:highlight w:val="none"/>
          <w:u w:val="none"/>
          <w:lang w:val="en-US" w:eastAsia="zh-CN" w:bidi="ar-SA"/>
        </w:rPr>
      </w:pPr>
      <w:r>
        <w:rPr>
          <w:rFonts w:hint="eastAsia" w:ascii="仿宋_GB2312" w:hAnsi="仿宋_GB2312" w:eastAsia="仿宋_GB2312" w:cs="仿宋_GB2312"/>
          <w:b w:val="0"/>
          <w:bCs/>
          <w:kern w:val="2"/>
          <w:sz w:val="32"/>
          <w:szCs w:val="32"/>
          <w:highlight w:val="none"/>
          <w:u w:val="none"/>
          <w:lang w:val="en-US" w:eastAsia="zh-CN" w:bidi="ar-SA"/>
        </w:rPr>
        <w:t>（3）</w:t>
      </w:r>
      <w:r>
        <w:rPr>
          <w:rFonts w:hint="eastAsia" w:ascii="Times New Roman" w:hAnsi="Times New Roman" w:eastAsia="仿宋_GB2312" w:cs="Times New Roman"/>
          <w:b w:val="0"/>
          <w:bCs w:val="0"/>
          <w:sz w:val="32"/>
          <w:szCs w:val="32"/>
          <w:highlight w:val="none"/>
          <w:u w:val="none"/>
          <w:lang w:eastAsia="zh-CN"/>
        </w:rPr>
        <w:t>商务领域相关市场主体</w:t>
      </w:r>
      <w:r>
        <w:rPr>
          <w:rFonts w:hint="eastAsia" w:ascii="Times New Roman" w:eastAsia="仿宋_GB2312" w:cs="Times New Roman"/>
          <w:b w:val="0"/>
          <w:bCs w:val="0"/>
          <w:sz w:val="32"/>
          <w:szCs w:val="32"/>
          <w:highlight w:val="none"/>
          <w:u w:val="none"/>
          <w:lang w:eastAsia="zh-CN"/>
        </w:rPr>
        <w:t>如</w:t>
      </w:r>
      <w:r>
        <w:rPr>
          <w:rFonts w:hint="eastAsia" w:ascii="Times New Roman" w:hAnsi="Times New Roman" w:eastAsia="仿宋_GB2312" w:cs="Times New Roman"/>
          <w:b w:val="0"/>
          <w:bCs w:val="0"/>
          <w:sz w:val="32"/>
          <w:szCs w:val="32"/>
          <w:highlight w:val="none"/>
          <w:u w:val="none"/>
          <w:lang w:eastAsia="zh-CN"/>
        </w:rPr>
        <w:t>免于本年度</w:t>
      </w:r>
      <w:r>
        <w:rPr>
          <w:rFonts w:hint="eastAsia" w:ascii="仿宋_GB2312" w:hAnsi="仿宋_GB2312" w:eastAsia="仿宋_GB2312" w:cs="仿宋_GB2312"/>
          <w:b w:val="0"/>
          <w:bCs/>
          <w:kern w:val="2"/>
          <w:sz w:val="32"/>
          <w:szCs w:val="32"/>
          <w:highlight w:val="none"/>
          <w:u w:val="none"/>
          <w:lang w:val="en-US" w:eastAsia="zh-CN" w:bidi="ar-SA"/>
        </w:rPr>
        <w:t>“双随机”抽查，下一年度执法人员正常对其开展相关监督检查。</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val="0"/>
          <w:i w:val="0"/>
          <w:caps w:val="0"/>
          <w:color w:val="auto"/>
          <w:spacing w:val="0"/>
          <w:sz w:val="32"/>
          <w:szCs w:val="32"/>
          <w:shd w:val="clear" w:color="auto" w:fill="FFFFFF"/>
          <w:lang w:eastAsia="zh-CN"/>
        </w:rPr>
        <w:t>免于行政检查清单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eastAsia="仿宋_GB2312" w:cs="Times New Roman"/>
          <w:b w:val="0"/>
          <w:bCs/>
          <w:sz w:val="32"/>
          <w:szCs w:val="32"/>
          <w:highlight w:val="none"/>
          <w:u w:val="none"/>
          <w:lang w:eastAsia="zh-CN"/>
        </w:rPr>
      </w:pPr>
      <w:r>
        <w:rPr>
          <w:rFonts w:hint="eastAsia" w:ascii="仿宋_GB2312" w:hAnsi="仿宋_GB2312" w:eastAsia="仿宋_GB2312" w:cs="仿宋_GB2312"/>
          <w:b w:val="0"/>
          <w:bCs/>
          <w:kern w:val="2"/>
          <w:sz w:val="32"/>
          <w:szCs w:val="32"/>
          <w:highlight w:val="none"/>
          <w:u w:val="none"/>
          <w:lang w:val="en-US" w:eastAsia="zh-CN" w:bidi="ar-SA"/>
        </w:rPr>
        <w:t>1.适用对象为</w:t>
      </w:r>
      <w:r>
        <w:rPr>
          <w:rFonts w:hint="eastAsia" w:ascii="Times New Roman" w:hAnsi="Times New Roman" w:eastAsia="仿宋_GB2312" w:cs="Times New Roman"/>
          <w:b w:val="0"/>
          <w:bCs/>
          <w:sz w:val="32"/>
          <w:szCs w:val="32"/>
          <w:highlight w:val="none"/>
          <w:u w:val="none"/>
          <w:lang w:eastAsia="zh-CN"/>
        </w:rPr>
        <w:t>行业领域</w:t>
      </w:r>
      <w:r>
        <w:rPr>
          <w:rFonts w:hint="eastAsia" w:ascii="Times New Roman" w:eastAsia="仿宋_GB2312" w:cs="Times New Roman"/>
          <w:b w:val="0"/>
          <w:bCs/>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b w:val="0"/>
          <w:bCs/>
          <w:kern w:val="2"/>
          <w:sz w:val="32"/>
          <w:szCs w:val="32"/>
          <w:highlight w:val="none"/>
          <w:u w:val="none"/>
          <w:lang w:val="en-US" w:eastAsia="zh-CN" w:bidi="ar-SA"/>
        </w:rPr>
      </w:pPr>
      <w:r>
        <w:rPr>
          <w:rFonts w:hint="eastAsia" w:ascii="仿宋_GB2312" w:hAnsi="仿宋_GB2312" w:eastAsia="仿宋_GB2312" w:cs="仿宋_GB2312"/>
          <w:b w:val="0"/>
          <w:bCs/>
          <w:kern w:val="2"/>
          <w:sz w:val="32"/>
          <w:szCs w:val="32"/>
          <w:highlight w:val="none"/>
          <w:u w:val="none"/>
          <w:lang w:val="en-US" w:eastAsia="zh-CN" w:bidi="ar-SA"/>
        </w:rPr>
        <w:t>2.商务领域法定抽查事项的法律责任规定最高不超过罚款3万元，含3万元；</w:t>
      </w:r>
    </w:p>
    <w:p>
      <w:pPr>
        <w:pStyle w:val="2"/>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b w:val="0"/>
          <w:bCs/>
          <w:kern w:val="2"/>
          <w:sz w:val="32"/>
          <w:szCs w:val="32"/>
          <w:highlight w:val="none"/>
          <w:u w:val="none"/>
          <w:lang w:val="en-US" w:eastAsia="zh-CN" w:bidi="ar-SA"/>
        </w:rPr>
      </w:pPr>
      <w:r>
        <w:rPr>
          <w:rFonts w:hint="eastAsia" w:ascii="Times New Roman" w:eastAsia="仿宋_GB2312" w:cs="Times New Roman"/>
          <w:b w:val="0"/>
          <w:bCs/>
          <w:sz w:val="32"/>
          <w:szCs w:val="32"/>
          <w:highlight w:val="none"/>
          <w:u w:val="none"/>
          <w:lang w:val="en-US" w:eastAsia="zh-CN"/>
        </w:rPr>
        <w:t>3.</w:t>
      </w:r>
      <w:r>
        <w:rPr>
          <w:rFonts w:hint="eastAsia" w:ascii="Times New Roman" w:eastAsia="仿宋_GB2312" w:cs="Times New Roman"/>
          <w:b w:val="0"/>
          <w:bCs/>
          <w:sz w:val="32"/>
          <w:szCs w:val="32"/>
          <w:highlight w:val="none"/>
          <w:u w:val="none"/>
          <w:lang w:eastAsia="zh-CN"/>
        </w:rPr>
        <w:t>某行业领域如</w:t>
      </w:r>
      <w:r>
        <w:rPr>
          <w:rFonts w:hint="eastAsia" w:ascii="Times New Roman" w:hAnsi="Times New Roman" w:eastAsia="仿宋_GB2312" w:cs="Times New Roman"/>
          <w:b w:val="0"/>
          <w:bCs/>
          <w:sz w:val="32"/>
          <w:szCs w:val="32"/>
          <w:highlight w:val="none"/>
          <w:u w:val="none"/>
          <w:lang w:eastAsia="zh-CN"/>
        </w:rPr>
        <w:t>本年度</w:t>
      </w:r>
      <w:r>
        <w:rPr>
          <w:rFonts w:hint="eastAsia" w:ascii="仿宋_GB2312" w:hAnsi="仿宋_GB2312" w:eastAsia="仿宋_GB2312" w:cs="仿宋_GB2312"/>
          <w:b w:val="0"/>
          <w:bCs/>
          <w:kern w:val="2"/>
          <w:sz w:val="32"/>
          <w:szCs w:val="32"/>
          <w:highlight w:val="none"/>
          <w:u w:val="none"/>
          <w:lang w:val="en-US" w:eastAsia="zh-CN" w:bidi="ar-SA"/>
        </w:rPr>
        <w:t>“双随机”抽查</w:t>
      </w:r>
      <w:r>
        <w:rPr>
          <w:rFonts w:hint="eastAsia" w:ascii="Times New Roman" w:hAnsi="Times New Roman" w:eastAsia="仿宋_GB2312" w:cs="Times New Roman"/>
          <w:b w:val="0"/>
          <w:bCs/>
          <w:sz w:val="32"/>
          <w:szCs w:val="32"/>
          <w:highlight w:val="none"/>
          <w:u w:val="none"/>
          <w:lang w:eastAsia="zh-CN"/>
        </w:rPr>
        <w:t>减少抽查频次</w:t>
      </w:r>
      <w:r>
        <w:rPr>
          <w:rFonts w:hint="eastAsia" w:ascii="仿宋_GB2312" w:hAnsi="仿宋_GB2312" w:eastAsia="仿宋_GB2312" w:cs="仿宋_GB2312"/>
          <w:b w:val="0"/>
          <w:bCs/>
          <w:kern w:val="2"/>
          <w:sz w:val="32"/>
          <w:szCs w:val="32"/>
          <w:highlight w:val="none"/>
          <w:u w:val="none"/>
          <w:lang w:val="en-US" w:eastAsia="zh-CN" w:bidi="ar-SA"/>
        </w:rPr>
        <w:t>，本年度同时符合三点情形，下一年度执法人员继续</w:t>
      </w:r>
      <w:r>
        <w:rPr>
          <w:rFonts w:hint="eastAsia" w:ascii="Times New Roman" w:hAnsi="Times New Roman" w:eastAsia="仿宋_GB2312" w:cs="Times New Roman"/>
          <w:b w:val="0"/>
          <w:bCs/>
          <w:sz w:val="32"/>
          <w:szCs w:val="32"/>
          <w:highlight w:val="none"/>
          <w:u w:val="none"/>
          <w:lang w:eastAsia="zh-CN"/>
        </w:rPr>
        <w:t>减少抽查频次</w:t>
      </w:r>
      <w:r>
        <w:rPr>
          <w:rFonts w:hint="eastAsia" w:ascii="Times New Roman" w:eastAsia="仿宋_GB2312" w:cs="Times New Roman"/>
          <w:b w:val="0"/>
          <w:bCs/>
          <w:sz w:val="32"/>
          <w:szCs w:val="32"/>
          <w:highlight w:val="none"/>
          <w:u w:val="none"/>
          <w:lang w:eastAsia="zh-CN"/>
        </w:rPr>
        <w:t>，但</w:t>
      </w:r>
      <w:r>
        <w:rPr>
          <w:rFonts w:hint="eastAsia" w:ascii="仿宋_GB2312" w:hAnsi="仿宋_GB2312" w:eastAsia="仿宋_GB2312" w:cs="仿宋_GB2312"/>
          <w:b w:val="0"/>
          <w:bCs/>
          <w:kern w:val="2"/>
          <w:sz w:val="32"/>
          <w:szCs w:val="32"/>
          <w:highlight w:val="none"/>
          <w:u w:val="none"/>
          <w:lang w:val="en-US" w:eastAsia="zh-CN" w:bidi="ar-SA"/>
        </w:rPr>
        <w:t>不得低于1次。如</w:t>
      </w:r>
      <w:r>
        <w:rPr>
          <w:rFonts w:hint="eastAsia" w:ascii="Times New Roman" w:hAnsi="Times New Roman" w:eastAsia="仿宋_GB2312" w:cs="Times New Roman"/>
          <w:b w:val="0"/>
          <w:bCs/>
          <w:sz w:val="32"/>
          <w:szCs w:val="32"/>
          <w:highlight w:val="none"/>
          <w:u w:val="none"/>
          <w:lang w:eastAsia="zh-CN"/>
        </w:rPr>
        <w:t>本年度</w:t>
      </w:r>
      <w:r>
        <w:rPr>
          <w:rFonts w:hint="eastAsia" w:ascii="仿宋_GB2312" w:hAnsi="仿宋_GB2312" w:eastAsia="仿宋_GB2312" w:cs="仿宋_GB2312"/>
          <w:b w:val="0"/>
          <w:bCs/>
          <w:kern w:val="2"/>
          <w:sz w:val="32"/>
          <w:szCs w:val="32"/>
          <w:highlight w:val="none"/>
          <w:u w:val="none"/>
          <w:lang w:val="en-US" w:eastAsia="zh-CN" w:bidi="ar-SA"/>
        </w:rPr>
        <w:t>“双随机”抽查</w:t>
      </w:r>
      <w:r>
        <w:rPr>
          <w:rFonts w:hint="eastAsia" w:ascii="Times New Roman" w:hAnsi="Times New Roman" w:eastAsia="仿宋_GB2312" w:cs="Times New Roman"/>
          <w:b w:val="0"/>
          <w:bCs/>
          <w:sz w:val="32"/>
          <w:szCs w:val="32"/>
          <w:highlight w:val="none"/>
          <w:u w:val="none"/>
          <w:lang w:eastAsia="zh-CN"/>
        </w:rPr>
        <w:t>减少抽查频次</w:t>
      </w:r>
      <w:r>
        <w:rPr>
          <w:rFonts w:hint="eastAsia" w:ascii="仿宋_GB2312" w:hAnsi="仿宋_GB2312" w:eastAsia="仿宋_GB2312" w:cs="仿宋_GB2312"/>
          <w:b w:val="0"/>
          <w:bCs/>
          <w:kern w:val="2"/>
          <w:sz w:val="32"/>
          <w:szCs w:val="32"/>
          <w:highlight w:val="none"/>
          <w:u w:val="none"/>
          <w:lang w:val="en-US" w:eastAsia="zh-CN" w:bidi="ar-SA"/>
        </w:rPr>
        <w:t>，本年度不能同时符合三点情形，下一年度执法人员不再</w:t>
      </w:r>
      <w:r>
        <w:rPr>
          <w:rFonts w:hint="eastAsia" w:ascii="Times New Roman" w:hAnsi="Times New Roman" w:eastAsia="仿宋_GB2312" w:cs="Times New Roman"/>
          <w:b w:val="0"/>
          <w:bCs/>
          <w:sz w:val="32"/>
          <w:szCs w:val="32"/>
          <w:highlight w:val="none"/>
          <w:u w:val="none"/>
          <w:lang w:eastAsia="zh-CN"/>
        </w:rPr>
        <w:t>减少抽查频次</w:t>
      </w:r>
      <w:r>
        <w:rPr>
          <w:rFonts w:hint="eastAsia" w:ascii="Times New Roman" w:eastAsia="仿宋_GB2312" w:cs="Times New Roman"/>
          <w:b w:val="0"/>
          <w:bCs/>
          <w:sz w:val="32"/>
          <w:szCs w:val="32"/>
          <w:highlight w:val="none"/>
          <w:u w:val="none"/>
          <w:lang w:eastAsia="zh-CN"/>
        </w:rPr>
        <w:t>，以正常抽查频次开展监督检查；</w:t>
      </w:r>
    </w:p>
    <w:p>
      <w:pPr>
        <w:pStyle w:val="2"/>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2"/>
          <w:sz w:val="32"/>
          <w:szCs w:val="32"/>
          <w:highlight w:val="none"/>
          <w:u w:val="none"/>
          <w:lang w:val="en-US" w:eastAsia="zh-CN" w:bidi="ar-SA"/>
        </w:rPr>
        <w:t>4.属于上述被减少抽查频次的行业领域，每年开展“双随机”抽查的频次不得低于1次，包括1次。</w:t>
      </w:r>
    </w:p>
    <w:sectPr>
      <w:headerReference r:id="rId3" w:type="default"/>
      <w:footerReference r:id="rId4" w:type="default"/>
      <w:footerReference r:id="rId5" w:type="even"/>
      <w:pgSz w:w="11906" w:h="16838"/>
      <w:pgMar w:top="2041" w:right="1474" w:bottom="204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40555"/>
    <w:multiLevelType w:val="multilevel"/>
    <w:tmpl w:val="1634055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30F8"/>
    <w:rsid w:val="0009493D"/>
    <w:rsid w:val="00101951"/>
    <w:rsid w:val="00103D1A"/>
    <w:rsid w:val="00120B47"/>
    <w:rsid w:val="0012423E"/>
    <w:rsid w:val="0020148E"/>
    <w:rsid w:val="00223A3F"/>
    <w:rsid w:val="002D056E"/>
    <w:rsid w:val="002D1FC7"/>
    <w:rsid w:val="00305A3D"/>
    <w:rsid w:val="00327E07"/>
    <w:rsid w:val="00391087"/>
    <w:rsid w:val="004F45D6"/>
    <w:rsid w:val="00534FC5"/>
    <w:rsid w:val="00617B1A"/>
    <w:rsid w:val="00656E85"/>
    <w:rsid w:val="007042AB"/>
    <w:rsid w:val="00704C11"/>
    <w:rsid w:val="00740FF7"/>
    <w:rsid w:val="0075252C"/>
    <w:rsid w:val="007C49C3"/>
    <w:rsid w:val="007F59FE"/>
    <w:rsid w:val="0083426A"/>
    <w:rsid w:val="008539D8"/>
    <w:rsid w:val="008D4E97"/>
    <w:rsid w:val="008F0CD4"/>
    <w:rsid w:val="00905F4F"/>
    <w:rsid w:val="009333FA"/>
    <w:rsid w:val="009342C5"/>
    <w:rsid w:val="00944079"/>
    <w:rsid w:val="009E30F8"/>
    <w:rsid w:val="00C20C5F"/>
    <w:rsid w:val="00C347D9"/>
    <w:rsid w:val="00C62A0D"/>
    <w:rsid w:val="00D8016C"/>
    <w:rsid w:val="00DD5328"/>
    <w:rsid w:val="00E0716A"/>
    <w:rsid w:val="00E64590"/>
    <w:rsid w:val="00F74A6B"/>
    <w:rsid w:val="03BD0248"/>
    <w:rsid w:val="0DD15069"/>
    <w:rsid w:val="10550FD8"/>
    <w:rsid w:val="199D2B80"/>
    <w:rsid w:val="26EB7C65"/>
    <w:rsid w:val="2FDF9137"/>
    <w:rsid w:val="3C9FF284"/>
    <w:rsid w:val="3D8436C4"/>
    <w:rsid w:val="4DAC62ED"/>
    <w:rsid w:val="580D7C58"/>
    <w:rsid w:val="5AEE9D3E"/>
    <w:rsid w:val="69784C37"/>
    <w:rsid w:val="6B524424"/>
    <w:rsid w:val="6BC3E868"/>
    <w:rsid w:val="6CF7E946"/>
    <w:rsid w:val="6FFCA65D"/>
    <w:rsid w:val="7A4770E3"/>
    <w:rsid w:val="7ED69E98"/>
    <w:rsid w:val="7FBF8CDC"/>
    <w:rsid w:val="7FE7BAB2"/>
    <w:rsid w:val="9FF8B82E"/>
    <w:rsid w:val="9FFFEB9E"/>
    <w:rsid w:val="AF6F20B4"/>
    <w:rsid w:val="AFA6928A"/>
    <w:rsid w:val="CFF7AA94"/>
    <w:rsid w:val="DEB6F494"/>
    <w:rsid w:val="F7AFD010"/>
    <w:rsid w:val="F7D77952"/>
    <w:rsid w:val="FABF6CCB"/>
    <w:rsid w:val="FB7F2978"/>
    <w:rsid w:val="FB9D4B3F"/>
    <w:rsid w:val="FBBD71AA"/>
    <w:rsid w:val="FDFF3C3A"/>
    <w:rsid w:val="FF37AC8C"/>
    <w:rsid w:val="FFBD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楷体" w:eastAsia="楷体"/>
      <w:b/>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qFormat/>
    <w:uiPriority w:val="0"/>
  </w:style>
  <w:style w:type="character" w:styleId="9">
    <w:name w:val="Hyperlink"/>
    <w:basedOn w:val="7"/>
    <w:qFormat/>
    <w:uiPriority w:val="0"/>
    <w:rPr>
      <w:color w:val="0000FF"/>
      <w:u w:val="single"/>
    </w:rPr>
  </w:style>
  <w:style w:type="character" w:customStyle="1" w:styleId="10">
    <w:name w:val="页眉 Char"/>
    <w:link w:val="4"/>
    <w:qFormat/>
    <w:uiPriority w:val="0"/>
    <w:rPr>
      <w:rFonts w:ascii="Times New Roman" w:hAnsi="Times New Roman" w:eastAsia="宋体" w:cs="Times New Roman"/>
      <w:sz w:val="18"/>
      <w:szCs w:val="18"/>
    </w:rPr>
  </w:style>
  <w:style w:type="character" w:customStyle="1" w:styleId="11">
    <w:name w:val="页脚 Char"/>
    <w:link w:val="3"/>
    <w:qFormat/>
    <w:uiPriority w:val="0"/>
    <w:rPr>
      <w:rFonts w:ascii="Times New Roman" w:hAnsi="Times New Roman" w:eastAsia="宋体" w:cs="Times New Roman"/>
      <w:sz w:val="18"/>
      <w:szCs w:val="18"/>
    </w:rPr>
  </w:style>
  <w:style w:type="paragraph" w:customStyle="1" w:styleId="12">
    <w:name w:val="列出段落1"/>
    <w:basedOn w:val="1"/>
    <w:qFormat/>
    <w:uiPriority w:val="0"/>
    <w:pPr>
      <w:ind w:firstLine="420" w:firstLineChars="200"/>
    </w:pPr>
  </w:style>
  <w:style w:type="paragraph" w:customStyle="1" w:styleId="13">
    <w:name w:val="Char1"/>
    <w:basedOn w:val="1"/>
    <w:qFormat/>
    <w:uiPriority w:val="0"/>
    <w:pPr>
      <w:widowControl/>
      <w:spacing w:after="160" w:line="240" w:lineRule="exact"/>
      <w:jc w:val="left"/>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314</Words>
  <Characters>1790</Characters>
  <Lines>14</Lines>
  <Paragraphs>4</Paragraphs>
  <TotalTime>0</TotalTime>
  <ScaleCrop>false</ScaleCrop>
  <LinksUpToDate>false</LinksUpToDate>
  <CharactersWithSpaces>2100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2019-11-09T03:27:00Z</dcterms:created>
  <dc:creator>john</dc:creator>
  <cp:lastModifiedBy>swj</cp:lastModifiedBy>
  <dcterms:modified xsi:type="dcterms:W3CDTF">2021-11-01T15:04:56Z</dcterms:modified>
  <dc:title>《ⅩⅩⅩⅩⅩⅩ》解读（样式）</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