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 w:hAnsi="仿宋" w:eastAsia="仿宋" w:cs="仿宋"/>
          <w:b w:val="0"/>
          <w:bCs/>
          <w:kern w:val="2"/>
          <w:sz w:val="32"/>
          <w:szCs w:val="32"/>
          <w:lang w:val="en-US" w:eastAsia="zh-CN" w:bidi="ar-SA"/>
        </w:rPr>
      </w:pPr>
      <w:bookmarkStart w:id="0" w:name="_GoBack"/>
      <w:bookmarkEnd w:id="0"/>
      <w:r>
        <w:rPr>
          <w:rFonts w:hint="eastAsia" w:ascii="仿宋" w:hAnsi="仿宋" w:eastAsia="仿宋" w:cs="仿宋"/>
          <w:b w:val="0"/>
          <w:bCs/>
          <w:kern w:val="2"/>
          <w:sz w:val="32"/>
          <w:szCs w:val="32"/>
          <w:lang w:val="en-US" w:eastAsia="zh-CN" w:bidi="ar-SA"/>
        </w:rPr>
        <w:t>附件1：</w:t>
      </w:r>
    </w:p>
    <w:p>
      <w:pPr>
        <w:pStyle w:val="3"/>
        <w:jc w:val="center"/>
        <w:rPr>
          <w:rFonts w:hint="eastAsia" w:ascii="宋体" w:hAnsi="宋体"/>
          <w:b/>
        </w:rPr>
      </w:pPr>
      <w:r>
        <w:rPr>
          <w:rFonts w:hint="eastAsia"/>
          <w:sz w:val="44"/>
          <w:szCs w:val="44"/>
        </w:rPr>
        <w:t>用户需求书</w:t>
      </w:r>
    </w:p>
    <w:p>
      <w:pPr>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一、采购项目基本情况</w:t>
      </w:r>
    </w:p>
    <w:p>
      <w:pPr>
        <w:snapToGrid w:val="0"/>
        <w:spacing w:line="360" w:lineRule="auto"/>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rPr>
        <w:t>、项目名称：</w:t>
      </w:r>
      <w:r>
        <w:rPr>
          <w:rFonts w:hint="eastAsia" w:ascii="仿宋" w:hAnsi="仿宋" w:eastAsia="仿宋" w:cs="仿宋"/>
          <w:bCs/>
          <w:sz w:val="32"/>
          <w:szCs w:val="32"/>
          <w:lang w:val="zh-CN" w:eastAsia="zh-CN"/>
        </w:rPr>
        <w:t>中山市儿童福利院</w:t>
      </w:r>
      <w:r>
        <w:rPr>
          <w:rFonts w:hint="eastAsia" w:ascii="仿宋" w:hAnsi="仿宋" w:eastAsia="仿宋" w:cs="仿宋"/>
          <w:bCs/>
          <w:sz w:val="32"/>
          <w:szCs w:val="32"/>
          <w:lang w:val="en-US" w:eastAsia="zh-CN"/>
        </w:rPr>
        <w:t>2022年度孤残儿童护理服务（2月份）</w:t>
      </w:r>
    </w:p>
    <w:p>
      <w:pPr>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、服务期：</w:t>
      </w:r>
      <w:r>
        <w:rPr>
          <w:rFonts w:hint="eastAsia" w:ascii="仿宋" w:hAnsi="仿宋" w:eastAsia="仿宋" w:cs="仿宋"/>
          <w:bCs/>
          <w:sz w:val="32"/>
          <w:szCs w:val="32"/>
          <w:lang w:val="en-US" w:eastAsia="zh-CN"/>
        </w:rPr>
        <w:t>2022年2月1日至2月28日</w:t>
      </w:r>
      <w:r>
        <w:rPr>
          <w:rFonts w:hint="eastAsia" w:ascii="仿宋" w:hAnsi="仿宋" w:eastAsia="仿宋" w:cs="仿宋"/>
          <w:bCs/>
          <w:sz w:val="32"/>
          <w:szCs w:val="32"/>
          <w:lang w:val="zh-CN"/>
        </w:rPr>
        <w:t xml:space="preserve"> </w:t>
      </w:r>
    </w:p>
    <w:p>
      <w:pPr>
        <w:snapToGrid w:val="0"/>
        <w:spacing w:line="360" w:lineRule="auto"/>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rPr>
        <w:t>预算金额（元）：</w:t>
      </w:r>
      <w:r>
        <w:rPr>
          <w:rFonts w:hint="eastAsia" w:ascii="仿宋" w:hAnsi="仿宋" w:eastAsia="仿宋" w:cs="仿宋"/>
          <w:bCs/>
          <w:sz w:val="32"/>
          <w:szCs w:val="32"/>
          <w:lang w:val="en-US" w:eastAsia="zh-CN"/>
        </w:rPr>
        <w:t>920000.00</w:t>
      </w:r>
    </w:p>
    <w:p>
      <w:pPr>
        <w:snapToGrid w:val="0"/>
        <w:spacing w:line="360" w:lineRule="auto"/>
        <w:ind w:firstLine="640" w:firstLineChars="200"/>
        <w:rPr>
          <w:rFonts w:hint="default" w:ascii="仿宋" w:hAnsi="仿宋" w:eastAsia="仿宋" w:cs="仿宋"/>
          <w:bCs/>
          <w:sz w:val="32"/>
          <w:szCs w:val="32"/>
          <w:lang w:val="en-US"/>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val="zh-CN"/>
        </w:rPr>
        <w:t>最高限价（元）：</w:t>
      </w:r>
      <w:r>
        <w:rPr>
          <w:rFonts w:hint="eastAsia" w:ascii="仿宋" w:hAnsi="仿宋" w:eastAsia="仿宋" w:cs="仿宋"/>
          <w:bCs/>
          <w:sz w:val="32"/>
          <w:szCs w:val="32"/>
          <w:lang w:val="en-US" w:eastAsia="zh-CN"/>
        </w:rPr>
        <w:t>920000.00</w:t>
      </w:r>
    </w:p>
    <w:p>
      <w:pPr>
        <w:snapToGrid w:val="0"/>
        <w:spacing w:line="360" w:lineRule="auto"/>
        <w:ind w:firstLine="640" w:firstLineChars="200"/>
        <w:rPr>
          <w:rFonts w:hint="eastAsia" w:ascii="宋体" w:hAnsi="宋体" w:cs="宋体"/>
          <w:sz w:val="32"/>
          <w:szCs w:val="32"/>
          <w:lang w:val="zh-CN" w:eastAsia="zh-TW"/>
        </w:rPr>
      </w:pPr>
      <w:r>
        <w:rPr>
          <w:rFonts w:hint="eastAsia" w:ascii="仿宋" w:hAnsi="仿宋" w:eastAsia="仿宋" w:cs="仿宋"/>
          <w:bCs/>
          <w:sz w:val="32"/>
          <w:szCs w:val="32"/>
          <w:lang w:val="en-US" w:eastAsia="zh-CN"/>
        </w:rPr>
        <w:t>5、</w:t>
      </w:r>
      <w:r>
        <w:rPr>
          <w:rFonts w:hint="eastAsia" w:ascii="仿宋" w:hAnsi="仿宋" w:eastAsia="仿宋" w:cs="仿宋"/>
          <w:bCs/>
          <w:sz w:val="32"/>
          <w:szCs w:val="32"/>
          <w:lang w:val="zh-CN" w:eastAsia="zh-TW"/>
        </w:rPr>
        <w:t>本项目不统一组织现场踏勘</w:t>
      </w:r>
      <w:r>
        <w:rPr>
          <w:rFonts w:hint="eastAsia" w:ascii="仿宋" w:hAnsi="仿宋" w:eastAsia="仿宋" w:cs="仿宋"/>
          <w:bCs/>
          <w:sz w:val="32"/>
          <w:szCs w:val="32"/>
          <w:lang w:val="zh-CN"/>
        </w:rPr>
        <w:t>和不组织</w:t>
      </w:r>
      <w:r>
        <w:rPr>
          <w:rFonts w:hint="eastAsia" w:ascii="仿宋" w:hAnsi="仿宋" w:eastAsia="仿宋" w:cs="仿宋"/>
          <w:bCs/>
          <w:sz w:val="32"/>
          <w:szCs w:val="32"/>
          <w:lang w:val="zh-CN" w:eastAsia="zh-TW"/>
        </w:rPr>
        <w:t>集中答疑会。</w:t>
      </w:r>
    </w:p>
    <w:p>
      <w:pPr>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二、采购内容简述</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eastAsia="zh-CN"/>
        </w:rPr>
        <w:t>项目背景概述：中山市儿童福利院(又名中山市益智儿童托养院)位于市东区沙石公路8号，是经市政府批准成立、隶属市民政局管理的社会福利事业单位。主要职责是向中山市弃婴（童）提供生活、教育、医疗康复等服务。服务对象大多有着不同类型、不同程度的残疾，如肢体残疾、智力滞后、听力障碍、躯体疾病等。</w:t>
      </w:r>
    </w:p>
    <w:p>
      <w:pPr>
        <w:snapToGrid w:val="0"/>
        <w:spacing w:line="360" w:lineRule="auto"/>
        <w:ind w:firstLine="640" w:firstLineChars="200"/>
        <w:rPr>
          <w:rFonts w:hint="eastAsia" w:ascii="宋体" w:hAnsi="宋体"/>
          <w:sz w:val="32"/>
          <w:szCs w:val="32"/>
          <w:lang w:val="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eastAsia="zh-CN"/>
        </w:rPr>
        <w:t>项目服务要求简述：保证按采购人的工作性质、特点的要求完成工作任务。</w:t>
      </w:r>
    </w:p>
    <w:p>
      <w:pPr>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三、服务具体要求</w:t>
      </w:r>
    </w:p>
    <w:p>
      <w:pPr>
        <w:snapToGrid w:val="0"/>
        <w:spacing w:line="360" w:lineRule="auto"/>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（一）项目主要服务内容</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eastAsia="zh-CN"/>
        </w:rPr>
        <w:t>负责院内供养儿童的管理、抚养、教育等业务。</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eastAsia="zh-CN"/>
        </w:rPr>
        <w:t>负责院内供养儿童的疾病医疗、身体康复、特殊教育。</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eastAsia="zh-CN"/>
        </w:rPr>
        <w:t>完成采购人交办的其他工作任务。</w:t>
      </w:r>
    </w:p>
    <w:p>
      <w:pPr>
        <w:pStyle w:val="2"/>
        <w:rPr>
          <w:rFonts w:hint="default"/>
          <w:lang w:val="en-US" w:eastAsia="zh-CN"/>
        </w:rPr>
      </w:pPr>
      <w:r>
        <w:rPr>
          <w:rFonts w:hint="eastAsia" w:ascii="仿宋" w:hAnsi="仿宋" w:eastAsia="仿宋" w:cs="仿宋"/>
          <w:bCs/>
          <w:sz w:val="32"/>
          <w:szCs w:val="32"/>
          <w:lang w:val="en-US" w:eastAsia="zh-CN"/>
        </w:rPr>
        <w:t xml:space="preserve">  </w:t>
      </w:r>
      <w:r>
        <w:rPr>
          <w:rFonts w:hint="eastAsia" w:ascii="仿宋" w:hAnsi="仿宋" w:eastAsia="仿宋" w:cs="仿宋"/>
          <w:bCs/>
          <w:color w:val="FF0000"/>
          <w:sz w:val="32"/>
          <w:szCs w:val="32"/>
          <w:lang w:val="en-US" w:eastAsia="zh-CN"/>
        </w:rPr>
        <w:t xml:space="preserve"> </w:t>
      </w:r>
      <w:r>
        <w:rPr>
          <w:rFonts w:hint="eastAsia" w:ascii="仿宋" w:hAnsi="仿宋" w:eastAsia="仿宋" w:cs="仿宋"/>
          <w:bCs/>
          <w:color w:val="auto"/>
          <w:sz w:val="32"/>
          <w:szCs w:val="32"/>
          <w:lang w:val="en-US" w:eastAsia="zh-CN"/>
        </w:rPr>
        <w:t xml:space="preserve"> 4、服务提供方须承诺在提交评审材料前组建满足岗位总工时需求的服务团队。</w:t>
      </w:r>
    </w:p>
    <w:p>
      <w:pPr>
        <w:snapToGrid w:val="0"/>
        <w:spacing w:line="360" w:lineRule="auto"/>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（二）外包岗位及班次工时设置</w:t>
      </w:r>
    </w:p>
    <w:p>
      <w:pPr>
        <w:snapToGrid w:val="0"/>
        <w:spacing w:line="360" w:lineRule="auto"/>
        <w:ind w:firstLine="640" w:firstLineChars="200"/>
        <w:rPr>
          <w:rFonts w:hint="eastAsia" w:ascii="宋体" w:hAnsi="宋体"/>
          <w:bCs/>
          <w:sz w:val="32"/>
          <w:szCs w:val="32"/>
          <w:lang w:val="zh-CN"/>
        </w:rPr>
      </w:pPr>
      <w:r>
        <w:rPr>
          <w:rFonts w:hint="eastAsia" w:ascii="仿宋" w:hAnsi="仿宋" w:eastAsia="仿宋" w:cs="仿宋"/>
          <w:bCs/>
          <w:sz w:val="32"/>
          <w:szCs w:val="32"/>
          <w:lang w:val="zh-CN" w:eastAsia="zh-CN"/>
        </w:rPr>
        <w:t>根据岗位工时设置表的要求，中标人确保提供不低于预设总工时的服务。为确保工作任务，在岗位总工时不变的情况下，采购人可优化工时制，根据实际需要调配人员。若服务提供方超出采购人要求工时或因其他任何原因，造成月度服务费超出合同约定金额的，超出部分均不作追加。</w:t>
      </w:r>
    </w:p>
    <w:tbl>
      <w:tblPr>
        <w:tblStyle w:val="5"/>
        <w:tblW w:w="8946" w:type="dxa"/>
        <w:tblInd w:w="93" w:type="dxa"/>
        <w:tblLayout w:type="fixed"/>
        <w:tblCellMar>
          <w:top w:w="0" w:type="dxa"/>
          <w:left w:w="108" w:type="dxa"/>
          <w:bottom w:w="0" w:type="dxa"/>
          <w:right w:w="108" w:type="dxa"/>
        </w:tblCellMar>
      </w:tblPr>
      <w:tblGrid>
        <w:gridCol w:w="640"/>
        <w:gridCol w:w="1360"/>
        <w:gridCol w:w="1417"/>
        <w:gridCol w:w="2268"/>
        <w:gridCol w:w="1701"/>
        <w:gridCol w:w="1560"/>
      </w:tblGrid>
      <w:tr>
        <w:tblPrEx>
          <w:tblCellMar>
            <w:top w:w="0" w:type="dxa"/>
            <w:left w:w="108" w:type="dxa"/>
            <w:bottom w:w="0" w:type="dxa"/>
            <w:right w:w="108" w:type="dxa"/>
          </w:tblCellMar>
        </w:tblPrEx>
        <w:trPr>
          <w:trHeight w:val="660" w:hRule="atLeast"/>
        </w:trPr>
        <w:tc>
          <w:tcPr>
            <w:tcW w:w="640" w:type="dxa"/>
            <w:tcBorders>
              <w:top w:val="single" w:color="auto" w:sz="4" w:space="0"/>
              <w:left w:val="single" w:color="auto" w:sz="4" w:space="0"/>
              <w:bottom w:val="nil"/>
              <w:right w:val="single" w:color="auto" w:sz="4" w:space="0"/>
            </w:tcBorders>
            <w:shd w:val="clear" w:color="000000" w:fill="D7D7D7"/>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序号</w:t>
            </w:r>
          </w:p>
        </w:tc>
        <w:tc>
          <w:tcPr>
            <w:tcW w:w="1360" w:type="dxa"/>
            <w:tcBorders>
              <w:top w:val="single" w:color="auto" w:sz="4" w:space="0"/>
              <w:left w:val="nil"/>
              <w:bottom w:val="nil"/>
              <w:right w:val="single" w:color="auto" w:sz="4" w:space="0"/>
            </w:tcBorders>
            <w:shd w:val="clear" w:color="000000" w:fill="D7D7D7"/>
            <w:vAlign w:val="center"/>
          </w:tcPr>
          <w:p>
            <w:pPr>
              <w:widowControl/>
              <w:jc w:val="center"/>
              <w:rPr>
                <w:rFonts w:ascii="仿宋" w:hAnsi="仿宋" w:eastAsia="仿宋" w:cs="宋体"/>
                <w:b/>
                <w:color w:val="auto"/>
                <w:kern w:val="0"/>
                <w:sz w:val="24"/>
              </w:rPr>
            </w:pPr>
            <w:r>
              <w:rPr>
                <w:rFonts w:hint="eastAsia" w:ascii="仿宋" w:hAnsi="仿宋" w:eastAsia="仿宋" w:cs="宋体"/>
                <w:b/>
                <w:color w:val="auto"/>
                <w:kern w:val="0"/>
                <w:sz w:val="24"/>
              </w:rPr>
              <w:t>岗位类别</w:t>
            </w:r>
          </w:p>
        </w:tc>
        <w:tc>
          <w:tcPr>
            <w:tcW w:w="1417" w:type="dxa"/>
            <w:tcBorders>
              <w:top w:val="single" w:color="auto" w:sz="4" w:space="0"/>
              <w:left w:val="nil"/>
              <w:bottom w:val="nil"/>
              <w:right w:val="single" w:color="auto" w:sz="4" w:space="0"/>
            </w:tcBorders>
            <w:shd w:val="clear" w:color="000000" w:fill="D7D7D7"/>
            <w:vAlign w:val="center"/>
          </w:tcPr>
          <w:p>
            <w:pPr>
              <w:widowControl/>
              <w:jc w:val="center"/>
              <w:rPr>
                <w:rFonts w:ascii="仿宋" w:hAnsi="仿宋" w:eastAsia="仿宋" w:cs="宋体"/>
                <w:b/>
                <w:color w:val="auto"/>
                <w:kern w:val="0"/>
                <w:sz w:val="24"/>
              </w:rPr>
            </w:pPr>
            <w:r>
              <w:rPr>
                <w:rFonts w:hint="eastAsia" w:ascii="仿宋" w:hAnsi="仿宋" w:eastAsia="仿宋" w:cs="宋体"/>
                <w:b/>
                <w:color w:val="auto"/>
                <w:kern w:val="0"/>
                <w:sz w:val="24"/>
              </w:rPr>
              <w:t>岗位名称</w:t>
            </w:r>
          </w:p>
        </w:tc>
        <w:tc>
          <w:tcPr>
            <w:tcW w:w="2268" w:type="dxa"/>
            <w:tcBorders>
              <w:top w:val="single" w:color="auto" w:sz="4" w:space="0"/>
              <w:left w:val="nil"/>
              <w:bottom w:val="nil"/>
              <w:right w:val="single" w:color="auto" w:sz="4" w:space="0"/>
            </w:tcBorders>
            <w:shd w:val="clear" w:color="000000" w:fill="D7D7D7"/>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岗位执勤要求</w:t>
            </w:r>
          </w:p>
        </w:tc>
        <w:tc>
          <w:tcPr>
            <w:tcW w:w="1701" w:type="dxa"/>
            <w:tcBorders>
              <w:top w:val="single" w:color="auto" w:sz="4" w:space="0"/>
              <w:left w:val="nil"/>
              <w:bottom w:val="nil"/>
              <w:right w:val="single" w:color="auto" w:sz="4" w:space="0"/>
            </w:tcBorders>
            <w:shd w:val="clear" w:color="000000" w:fill="D7D7D7"/>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每岗工时</w:t>
            </w:r>
            <w:r>
              <w:rPr>
                <w:rFonts w:hint="eastAsia" w:ascii="仿宋" w:hAnsi="仿宋" w:eastAsia="仿宋" w:cs="宋体"/>
                <w:b/>
                <w:bCs/>
                <w:color w:val="auto"/>
                <w:kern w:val="0"/>
                <w:sz w:val="24"/>
              </w:rPr>
              <w:br w:type="textWrapping"/>
            </w:r>
            <w:r>
              <w:rPr>
                <w:rFonts w:hint="eastAsia" w:ascii="仿宋" w:hAnsi="仿宋" w:eastAsia="仿宋" w:cs="宋体"/>
                <w:b/>
                <w:bCs/>
                <w:color w:val="auto"/>
                <w:kern w:val="0"/>
                <w:sz w:val="24"/>
              </w:rPr>
              <w:t xml:space="preserve">（时/月）             </w:t>
            </w:r>
          </w:p>
        </w:tc>
        <w:tc>
          <w:tcPr>
            <w:tcW w:w="1560" w:type="dxa"/>
            <w:tcBorders>
              <w:top w:val="single" w:color="auto" w:sz="4" w:space="0"/>
              <w:left w:val="nil"/>
              <w:bottom w:val="nil"/>
              <w:right w:val="single" w:color="auto" w:sz="4" w:space="0"/>
            </w:tcBorders>
            <w:shd w:val="clear" w:color="000000" w:fill="D7D7D7"/>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岗位总工时            （时/月）</w:t>
            </w:r>
          </w:p>
        </w:tc>
      </w:tr>
      <w:tr>
        <w:tblPrEx>
          <w:tblCellMar>
            <w:top w:w="0" w:type="dxa"/>
            <w:left w:w="108" w:type="dxa"/>
            <w:bottom w:w="0" w:type="dxa"/>
            <w:right w:w="108" w:type="dxa"/>
          </w:tblCellMar>
        </w:tblPrEx>
        <w:trPr>
          <w:trHeight w:val="48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管理人员</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项目经理</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1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护理保育人员</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护理员</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365天 24小时/天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12528</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3</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医疗保育</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365天 24小时/天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2262</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val="en-US" w:eastAsia="zh-CN"/>
              </w:rPr>
              <w:t>4</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洗衣工</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1218</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val="en-US" w:eastAsia="zh-CN"/>
              </w:rPr>
              <w:t>5</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厨师</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696</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val="en-US" w:eastAsia="zh-CN"/>
              </w:rPr>
              <w:t>6</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厨工</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870</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val="en-US" w:eastAsia="zh-CN"/>
              </w:rPr>
              <w:t>7</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勤杂</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val="en-US" w:eastAsia="zh-CN"/>
              </w:rPr>
              <w:t>8</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水电工</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348</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val="en-US" w:eastAsia="zh-CN"/>
              </w:rPr>
              <w:t>9</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司机</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348</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10</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rPr>
              <w:t>替代家长</w:t>
            </w:r>
          </w:p>
          <w:p>
            <w:pPr>
              <w:pStyle w:val="2"/>
              <w:rPr>
                <w:rFonts w:hint="eastAsia"/>
                <w:lang w:eastAsia="zh-CN"/>
              </w:rPr>
            </w:pPr>
            <w:r>
              <w:rPr>
                <w:rFonts w:hint="eastAsia" w:ascii="仿宋" w:hAnsi="仿宋" w:eastAsia="仿宋" w:cs="宋体"/>
                <w:color w:val="auto"/>
                <w:kern w:val="0"/>
                <w:sz w:val="24"/>
                <w:lang w:eastAsia="zh-CN"/>
              </w:rPr>
              <w:t>（护理员）</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522</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11</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模拟家庭</w:t>
            </w:r>
          </w:p>
          <w:p>
            <w:pPr>
              <w:pStyle w:val="2"/>
              <w:rPr>
                <w:rFonts w:hint="eastAsia" w:eastAsia="仿宋"/>
                <w:lang w:eastAsia="zh-CN"/>
              </w:rPr>
            </w:pPr>
            <w:r>
              <w:rPr>
                <w:rFonts w:hint="eastAsia" w:ascii="仿宋" w:hAnsi="仿宋" w:eastAsia="仿宋" w:cs="宋体"/>
                <w:color w:val="auto"/>
                <w:kern w:val="0"/>
                <w:sz w:val="24"/>
                <w:szCs w:val="24"/>
                <w:lang w:val="en-US" w:eastAsia="zh-CN" w:bidi="ar-SA"/>
              </w:rPr>
              <w:t>（护理员）</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26天 16小时/天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416小时/月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2496</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12</w:t>
            </w:r>
          </w:p>
        </w:tc>
        <w:tc>
          <w:tcPr>
            <w:tcW w:w="1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专业技术人员</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医生</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348</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13</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康复师</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522</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14</w:t>
            </w:r>
          </w:p>
        </w:tc>
        <w:tc>
          <w:tcPr>
            <w:tcW w:w="13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护士</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1740</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15</w:t>
            </w:r>
          </w:p>
        </w:tc>
        <w:tc>
          <w:tcPr>
            <w:tcW w:w="13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特教老师</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21.75天 8小时/天</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174小时/月</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1392</w:t>
            </w:r>
          </w:p>
        </w:tc>
      </w:tr>
      <w:tr>
        <w:tblPrEx>
          <w:tblCellMar>
            <w:top w:w="0" w:type="dxa"/>
            <w:left w:w="108" w:type="dxa"/>
            <w:bottom w:w="0" w:type="dxa"/>
            <w:right w:w="108" w:type="dxa"/>
          </w:tblCellMar>
        </w:tblPrEx>
        <w:trPr>
          <w:trHeight w:val="390" w:hRule="atLeast"/>
        </w:trPr>
        <w:tc>
          <w:tcPr>
            <w:tcW w:w="5685" w:type="dxa"/>
            <w:gridSpan w:val="4"/>
            <w:tcBorders>
              <w:top w:val="single" w:color="auto" w:sz="4" w:space="0"/>
              <w:left w:val="single" w:color="auto" w:sz="4" w:space="0"/>
              <w:bottom w:val="single" w:color="auto" w:sz="4" w:space="0"/>
            </w:tcBorders>
            <w:vAlign w:val="center"/>
          </w:tcPr>
          <w:p>
            <w:pPr>
              <w:widowControl/>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 xml:space="preserve">                             每月</w:t>
            </w:r>
            <w:r>
              <w:rPr>
                <w:rFonts w:hint="eastAsia" w:ascii="仿宋" w:hAnsi="仿宋" w:eastAsia="仿宋"/>
                <w:b/>
                <w:kern w:val="0"/>
                <w:sz w:val="24"/>
                <w:highlight w:val="none"/>
              </w:rPr>
              <w:t>采购</w:t>
            </w:r>
            <w:r>
              <w:rPr>
                <w:rFonts w:hint="eastAsia" w:ascii="仿宋" w:hAnsi="仿宋" w:eastAsia="仿宋" w:cs="宋体"/>
                <w:b/>
                <w:color w:val="auto"/>
                <w:kern w:val="0"/>
                <w:sz w:val="24"/>
                <w:highlight w:val="none"/>
              </w:rPr>
              <w:t>总工时：</w:t>
            </w:r>
          </w:p>
        </w:tc>
        <w:tc>
          <w:tcPr>
            <w:tcW w:w="3261" w:type="dxa"/>
            <w:gridSpan w:val="2"/>
            <w:tcBorders>
              <w:top w:val="single" w:color="auto" w:sz="4" w:space="0"/>
              <w:bottom w:val="single" w:color="auto" w:sz="4" w:space="0"/>
              <w:right w:val="single" w:color="auto" w:sz="4" w:space="0"/>
            </w:tcBorders>
            <w:vAlign w:val="center"/>
          </w:tcPr>
          <w:p>
            <w:pPr>
              <w:widowControl/>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25638时/月</w:t>
            </w:r>
          </w:p>
        </w:tc>
      </w:tr>
    </w:tbl>
    <w:p>
      <w:pPr>
        <w:widowControl/>
        <w:ind w:firstLine="480" w:firstLineChars="200"/>
        <w:jc w:val="both"/>
        <w:rPr>
          <w:rFonts w:hint="eastAsia" w:ascii="仿宋" w:hAnsi="仿宋" w:eastAsia="仿宋" w:cs="宋体"/>
          <w:color w:val="auto"/>
          <w:kern w:val="0"/>
          <w:sz w:val="24"/>
          <w:lang w:val="zh-CN"/>
        </w:rPr>
      </w:pPr>
      <w:r>
        <w:rPr>
          <w:rFonts w:hint="eastAsia" w:ascii="仿宋" w:hAnsi="仿宋" w:eastAsia="仿宋" w:cs="宋体"/>
          <w:color w:val="auto"/>
          <w:kern w:val="0"/>
          <w:sz w:val="24"/>
          <w:lang w:val="zh-CN"/>
        </w:rPr>
        <w:t>备注：工时安排需服从采购人的安排</w:t>
      </w:r>
    </w:p>
    <w:p>
      <w:pPr>
        <w:snapToGrid w:val="0"/>
        <w:spacing w:line="360" w:lineRule="auto"/>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（三）服务人员条件</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eastAsia="zh-CN"/>
        </w:rPr>
        <w:t>遵纪守法。具有良好的思想品德，作风正派，无违法犯罪记录。</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eastAsia="zh-CN"/>
        </w:rPr>
        <w:t>服务人员年龄均符合国家劳动法规定，具有正常履行职责的身体条件和工作能力，工作责任感强，吃苦耐劳，能承受工作压力，有良好的团队合作精神。</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eastAsia="zh-CN"/>
        </w:rPr>
        <w:t>符合中山市儿童福利院实际要求及日常管理工作规范，服务人员体检结果需满足我院的传染病防控工作要求。</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4.专业技术岗位条件</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医生：中专以上学历，医学类相关专业毕业，为院内孤残儿童提供疾病诊疗及病案管理工作。</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康复师：中专以上学历，康复治疗专业毕业，为院内孤残儿童提供康复治疗工作。</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护士：中专以上学历，护理或护理学专业毕业，为院内孤残儿童提供医学护理工作，具有护士资格证。</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特教老师：中专以上学历，特殊教育、学前教育或教育学类相关专业，为院内儿童提供学龄前特殊教育工作。</w:t>
      </w:r>
    </w:p>
    <w:p>
      <w:pPr>
        <w:snapToGrid w:val="0"/>
        <w:spacing w:line="360" w:lineRule="auto"/>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（四）服务人员待遇</w:t>
      </w:r>
    </w:p>
    <w:p>
      <w:pPr>
        <w:snapToGrid w:val="0"/>
        <w:spacing w:line="360" w:lineRule="auto"/>
        <w:ind w:firstLine="640" w:firstLineChars="200"/>
        <w:rPr>
          <w:rFonts w:hint="eastAsia" w:ascii="仿宋" w:hAnsi="仿宋" w:eastAsia="仿宋" w:cs="仿宋"/>
          <w:bCs/>
          <w:color w:val="auto"/>
          <w:sz w:val="32"/>
          <w:szCs w:val="32"/>
          <w:lang w:val="zh-CN" w:eastAsia="zh-CN"/>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val="zh-CN" w:eastAsia="zh-CN"/>
        </w:rPr>
        <w:t>中标人应依法为服务人员办理五险一金，购买生育、工伤、养老、失业保险、医疗保险及公积金，若双方合作期间，国家、省、市对缴费标准有新的政策规定，则须按新的规定进行调整。</w:t>
      </w:r>
    </w:p>
    <w:p>
      <w:pPr>
        <w:snapToGrid w:val="0"/>
        <w:spacing w:line="360" w:lineRule="auto"/>
        <w:ind w:firstLine="640" w:firstLineChars="200"/>
        <w:rPr>
          <w:rFonts w:hint="eastAsia" w:ascii="仿宋" w:hAnsi="仿宋" w:eastAsia="仿宋" w:cs="仿宋"/>
          <w:bCs/>
          <w:color w:val="auto"/>
          <w:sz w:val="32"/>
          <w:szCs w:val="32"/>
          <w:lang w:val="zh-CN"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lang w:val="zh-CN" w:eastAsia="zh-CN"/>
        </w:rPr>
        <w:t>、服装费：按采购人要求为人员制作工作服。</w:t>
      </w:r>
    </w:p>
    <w:p>
      <w:pPr>
        <w:snapToGrid w:val="0"/>
        <w:spacing w:line="360" w:lineRule="auto"/>
        <w:ind w:firstLine="640" w:firstLineChars="200"/>
        <w:rPr>
          <w:rFonts w:hint="eastAsia" w:ascii="仿宋" w:hAnsi="仿宋" w:eastAsia="仿宋" w:cs="仿宋"/>
          <w:bCs/>
          <w:color w:val="auto"/>
          <w:sz w:val="32"/>
          <w:szCs w:val="32"/>
          <w:lang w:val="zh-CN" w:eastAsia="zh-CN"/>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val="zh-CN" w:eastAsia="zh-CN"/>
        </w:rPr>
        <w:t>、商业险：由中标人购买。</w:t>
      </w:r>
    </w:p>
    <w:p>
      <w:pPr>
        <w:snapToGrid w:val="0"/>
        <w:spacing w:line="360" w:lineRule="auto"/>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lang w:val="zh-CN" w:eastAsia="zh-CN"/>
        </w:rPr>
        <w:t>、服务人员在工作期间所产生的餐费需由中标人承担</w:t>
      </w:r>
      <w:r>
        <w:rPr>
          <w:rFonts w:hint="eastAsia" w:ascii="仿宋" w:hAnsi="仿宋" w:eastAsia="仿宋" w:cs="仿宋"/>
          <w:bCs/>
          <w:color w:val="auto"/>
          <w:sz w:val="32"/>
          <w:szCs w:val="32"/>
          <w:lang w:val="en-US" w:eastAsia="zh-CN"/>
        </w:rPr>
        <w:t>。</w:t>
      </w:r>
    </w:p>
    <w:p>
      <w:pPr>
        <w:snapToGrid w:val="0"/>
        <w:spacing w:line="360" w:lineRule="auto"/>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5、节假日加班费。</w:t>
      </w:r>
    </w:p>
    <w:p>
      <w:pPr>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四、付款方式</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由采购人按下列程序付款：</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1.服务费按月实际产生的岗位总工时进行核算，并结合当月服务考核情况进行支付。若当月服务不满该月采购总工时，则按实际产生的总工时对应的服务费进行结算。</w:t>
      </w:r>
    </w:p>
    <w:p>
      <w:pPr>
        <w:snapToGrid w:val="0"/>
        <w:spacing w:line="360" w:lineRule="auto"/>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采购人将按照《中山市儿童福利院购买服务项目管理办法》对本项目进行考核，具体从服务态度、专业能力、工作成效等方面进行考核。服务项目的综合评估结果分4个等次，90分（含90分）以上为优秀、75分（含75分）—90分为良好、60分（含60分）—75分为合格、60分以下为不合格。采购人按照评估等次并结合季度工时情况，分别支付当月服务费的100%、90%、80%、50%。</w:t>
      </w:r>
    </w:p>
    <w:p>
      <w:pPr>
        <w:adjustRightInd w:val="0"/>
        <w:snapToGrid w:val="0"/>
        <w:spacing w:before="156" w:beforeLines="50" w:after="156" w:afterLines="50"/>
        <w:jc w:val="left"/>
        <w:outlineLvl w:val="2"/>
        <w:rPr>
          <w:rFonts w:hint="eastAsia" w:ascii="仿宋" w:hAnsi="仿宋" w:eastAsia="仿宋" w:cs="仿宋"/>
          <w:color w:val="auto"/>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236EB"/>
    <w:rsid w:val="00E902F1"/>
    <w:rsid w:val="03EC5285"/>
    <w:rsid w:val="106339DE"/>
    <w:rsid w:val="2D161D75"/>
    <w:rsid w:val="2F555EB6"/>
    <w:rsid w:val="2FAC5645"/>
    <w:rsid w:val="2FAF07EB"/>
    <w:rsid w:val="311E5CE2"/>
    <w:rsid w:val="39D8004E"/>
    <w:rsid w:val="43CB29B9"/>
    <w:rsid w:val="464F6B4D"/>
    <w:rsid w:val="49190D6C"/>
    <w:rsid w:val="491E6CDB"/>
    <w:rsid w:val="49223F0C"/>
    <w:rsid w:val="4EC469C0"/>
    <w:rsid w:val="514828F5"/>
    <w:rsid w:val="5E9236EB"/>
    <w:rsid w:val="605660F5"/>
    <w:rsid w:val="647E2029"/>
    <w:rsid w:val="6A323ABF"/>
    <w:rsid w:val="71FE15CF"/>
    <w:rsid w:val="72003669"/>
    <w:rsid w:val="7AA1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kern w:val="0"/>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2021-12-10T06:36:00Z</dcterms:created>
  <dc:creator>Administrator</dc:creator>
  <cp:lastModifiedBy>西米露</cp:lastModifiedBy>
  <cp:lastPrinted>2022-01-16T07:38:00Z</cp:lastPrinted>
  <dcterms:modified xsi:type="dcterms:W3CDTF">2022-01-24T06:42:53Z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50103E3C8DB54E36A86F0A28FB610AD2</vt:lpwstr>
  </property>
</Properties>
</file>