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中山市民众街道网格和大数据事务中心</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val="0"/>
          <w:bCs/>
          <w:sz w:val="32"/>
          <w:szCs w:val="32"/>
          <w:lang w:eastAsia="zh-CN"/>
        </w:rPr>
        <w:t>中山市民众街道网格和大数据事务中心</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黑体"/>
          <w:b w:val="0"/>
          <w:bCs/>
          <w:sz w:val="32"/>
          <w:szCs w:val="32"/>
          <w:lang w:eastAsia="zh-CN"/>
        </w:rPr>
        <w:t>中山市民众街道网格和大数据事务中心</w:t>
      </w: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0"/>
          <w:szCs w:val="30"/>
          <w:lang w:val="en-US" w:eastAsia="zh-CN"/>
        </w:rPr>
        <w:t>协助推进城乡社会综合网格化服务管理。依托村（社区）合理划分基本网格单元，协助做好网格内党的建设、城市管理、综合治理、流动人口管理、消防、应急管理、社会保障、社会救助等工作。负责网格日常巡查和网格基础数据的采集、录入和分类处理，将发现的问题流转交办到相关职能部门，并协调相关职能部门解决问题，跟踪、反馈问题处理情况。负责辖区内网格员队伍建设、管理、考核和业务培训。完成上级和火炬开发区党工委、管委会交办的其他工作任务。</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ind w:firstLine="160" w:firstLineChars="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bookmarkStart w:id="7" w:name="PO_part2Organization"/>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lang w:val="en-US" w:eastAsia="zh-CN"/>
        </w:rPr>
        <w:t xml:space="preserve">中山市民众街道网格和大数据事务中心为中共中山市民众街道工作委员会、中山市人民政府民众街道办事处管理的公益一类事业单位，正股级.现有人员8人，包括主任1名，工作人员7名。  </w:t>
      </w:r>
      <w:bookmarkEnd w:id="7"/>
      <w:r>
        <w:rPr>
          <w:rFonts w:hint="eastAsia" w:ascii="仿宋_GB2312" w:hAnsi="仿宋_GB2312" w:eastAsia="仿宋_GB2312" w:cs="仿宋_GB2312"/>
          <w:sz w:val="32"/>
          <w:szCs w:val="32"/>
          <w:lang w:val="en-US" w:eastAsia="zh-CN"/>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lang w:val="en-US" w:eastAsia="zh-CN"/>
        </w:rPr>
        <w:t xml:space="preserve">本部门无下属单位，部门预算为本级预算。  </w:t>
      </w:r>
      <w:r>
        <w:rPr>
          <w:rFonts w:hint="eastAsia" w:ascii="仿宋_GB2312" w:hAnsi="仿宋_GB2312" w:eastAsia="仿宋_GB2312" w:cs="仿宋_GB2312"/>
          <w:sz w:val="32"/>
          <w:szCs w:val="32"/>
        </w:rPr>
        <w:t xml:space="preserve"> </w:t>
      </w:r>
      <w:bookmarkEnd w:id="8"/>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9"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年部门预算表</w:t>
      </w:r>
    </w:p>
    <w:p>
      <w:pPr>
        <w:jc w:val="left"/>
        <w:rPr>
          <w:rFonts w:hint="eastAsia"/>
        </w:rPr>
      </w:pPr>
      <w:bookmarkStart w:id="10" w:name="PO_part2Table1"/>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1"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11"/>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173.60</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jc w:val="right"/>
              <w:rPr>
                <w:rFonts w:hint="default" w:ascii="宋体" w:hAnsi="宋体" w:eastAsia="宋体" w:cs="宋体"/>
                <w:sz w:val="18"/>
                <w:szCs w:val="18"/>
                <w:lang w:val="en-US" w:eastAsia="zh-CN"/>
              </w:rPr>
            </w:pPr>
            <w:r>
              <w:rPr>
                <w:rFonts w:hint="eastAsia" w:ascii="宋体" w:hAnsi="宋体" w:eastAsia="宋体" w:cs="宋体"/>
                <w:color w:val="000000"/>
                <w:sz w:val="18"/>
                <w:szCs w:val="18"/>
                <w:lang w:val="en-US" w:eastAsia="zh-CN"/>
              </w:rPr>
              <w:t>173.60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173.60</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default" w:ascii="宋体" w:hAnsi="宋体" w:eastAsia="宋体" w:cs="宋体"/>
                <w:sz w:val="18"/>
                <w:szCs w:val="18"/>
                <w:lang w:val="en-US" w:eastAsia="zh-CN"/>
              </w:rPr>
            </w:pPr>
            <w:r>
              <w:rPr>
                <w:rFonts w:hint="eastAsia" w:ascii="宋体" w:hAnsi="宋体" w:eastAsia="宋体" w:cs="宋体"/>
                <w:color w:val="000000"/>
                <w:sz w:val="18"/>
                <w:szCs w:val="18"/>
                <w:lang w:val="en-US" w:eastAsia="zh-CN"/>
              </w:rPr>
              <w:t>173.60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173.60</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173.60</w:t>
            </w:r>
          </w:p>
        </w:tc>
      </w:tr>
      <w:bookmarkEnd w:id="1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2"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2"/>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3"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4"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14"/>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949"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204</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公共安全支出</w:t>
            </w:r>
          </w:p>
        </w:tc>
        <w:tc>
          <w:tcPr>
            <w:tcW w:w="1196"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949" w:type="dxa"/>
            <w:noWrap w:val="0"/>
            <w:vAlign w:val="center"/>
          </w:tcPr>
          <w:p>
            <w:pPr>
              <w:jc w:val="right"/>
              <w:rPr>
                <w:sz w:val="18"/>
                <w:szCs w:val="18"/>
              </w:rPr>
            </w:pPr>
            <w:r>
              <w:rPr>
                <w:rFonts w:hint="eastAsia" w:ascii="宋体" w:hAnsi="宋体"/>
                <w:color w:val="000000"/>
                <w:sz w:val="18"/>
                <w:szCs w:val="18"/>
                <w:lang w:val="en-US" w:eastAsia="zh-CN"/>
              </w:rPr>
              <w:t>173.6</w:t>
            </w:r>
            <w:r>
              <w:rPr>
                <w:rFonts w:hint="eastAsia" w:ascii="宋体" w:hAnsi="宋体"/>
                <w:color w:val="000000"/>
                <w:sz w:val="18"/>
                <w:szCs w:val="18"/>
              </w:rPr>
              <w:t>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20499</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其他公共安全支出</w:t>
            </w:r>
          </w:p>
        </w:tc>
        <w:tc>
          <w:tcPr>
            <w:tcW w:w="1196"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949"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2049999</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其他公共安全支出</w:t>
            </w:r>
          </w:p>
        </w:tc>
        <w:tc>
          <w:tcPr>
            <w:tcW w:w="1196"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949"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bookmarkEnd w:id="13"/>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5"/>
    </w:p>
    <w:p>
      <w:pPr>
        <w:rPr>
          <w:rFonts w:hint="eastAsia"/>
        </w:rPr>
      </w:pPr>
      <w:bookmarkStart w:id="16" w:name="PO_part2Table3"/>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7"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17"/>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77.80</w:t>
            </w:r>
          </w:p>
        </w:tc>
        <w:tc>
          <w:tcPr>
            <w:tcW w:w="1257"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95.80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204</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公共安全支出</w:t>
            </w:r>
          </w:p>
        </w:tc>
        <w:tc>
          <w:tcPr>
            <w:tcW w:w="136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77.80</w:t>
            </w:r>
          </w:p>
        </w:tc>
        <w:tc>
          <w:tcPr>
            <w:tcW w:w="1257"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95.80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20499</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 xml:space="preserve"> 其他公共安全支出</w:t>
            </w:r>
          </w:p>
        </w:tc>
        <w:tc>
          <w:tcPr>
            <w:tcW w:w="136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77.80</w:t>
            </w:r>
          </w:p>
        </w:tc>
        <w:tc>
          <w:tcPr>
            <w:tcW w:w="1257"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95.80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2049999</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 xml:space="preserve">  其他公共安全支出</w:t>
            </w:r>
          </w:p>
        </w:tc>
        <w:tc>
          <w:tcPr>
            <w:tcW w:w="136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77.80</w:t>
            </w:r>
          </w:p>
        </w:tc>
        <w:tc>
          <w:tcPr>
            <w:tcW w:w="1257" w:type="dxa"/>
            <w:noWrap w:val="0"/>
            <w:vAlign w:val="center"/>
          </w:tcPr>
          <w:p>
            <w:pPr>
              <w:jc w:val="right"/>
              <w:rPr>
                <w:sz w:val="18"/>
                <w:szCs w:val="18"/>
              </w:rPr>
            </w:pPr>
            <w:r>
              <w:rPr>
                <w:rFonts w:hint="eastAsia" w:ascii="宋体" w:hAnsi="宋体"/>
                <w:color w:val="000000"/>
                <w:sz w:val="18"/>
                <w:szCs w:val="18"/>
                <w:lang w:val="en-US" w:eastAsia="zh-CN"/>
              </w:rPr>
              <w:t>95.80</w:t>
            </w:r>
            <w:r>
              <w:rPr>
                <w:rFonts w:hint="eastAsia" w:ascii="宋体" w:hAnsi="宋体"/>
                <w:color w:val="000000"/>
                <w:sz w:val="18"/>
                <w:szCs w:val="18"/>
              </w:rPr>
              <w:t>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bookmarkEnd w:id="16"/>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8"/>
    </w:p>
    <w:p>
      <w:pPr>
        <w:rPr>
          <w:rFonts w:hint="eastAsia"/>
        </w:rPr>
      </w:pPr>
      <w:bookmarkStart w:id="19" w:name="PO_part2Table4"/>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0" w:name="PO_part2Table4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2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r>
      <w:bookmarkEnd w:id="19"/>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1remark4"/>
      <w:r>
        <w:rPr>
          <w:rFonts w:hint="eastAsia" w:ascii="宋体" w:hAnsi="宋体" w:cs="宋体"/>
          <w:color w:val="000000"/>
          <w:kern w:val="0"/>
          <w:sz w:val="18"/>
          <w:szCs w:val="18"/>
          <w:lang w:bidi="ar"/>
        </w:rPr>
        <w:t xml:space="preserve"> 表中功能分类科目，根据各部门实际预算编制情况编列。 </w:t>
      </w:r>
      <w:bookmarkEnd w:id="21"/>
    </w:p>
    <w:p>
      <w:pPr>
        <w:rPr>
          <w:rFonts w:hint="eastAsia"/>
        </w:rPr>
      </w:pPr>
      <w:bookmarkStart w:id="22" w:name="PO_part2Table5"/>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3" w:name="PO_part2Table5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w:t>
            </w:r>
            <w:r>
              <w:rPr>
                <w:rFonts w:hint="eastAsia" w:ascii="宋体" w:hAnsi="宋体"/>
                <w:color w:val="000000"/>
                <w:kern w:val="0"/>
                <w:sz w:val="18"/>
                <w:szCs w:val="18"/>
                <w:lang w:eastAsia="zh-CN"/>
              </w:rPr>
              <w:t>山市民众街道网格和大数据事务中心</w:t>
            </w:r>
            <w:r>
              <w:rPr>
                <w:rFonts w:hint="eastAsia" w:ascii="宋体" w:hAnsi="宋体"/>
                <w:color w:val="000000"/>
                <w:kern w:val="0"/>
                <w:sz w:val="18"/>
                <w:szCs w:val="18"/>
              </w:rPr>
              <w:t xml:space="preserve"> </w:t>
            </w:r>
            <w:bookmarkEnd w:id="23"/>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sz w:val="18"/>
                <w:szCs w:val="18"/>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77.80</w:t>
            </w:r>
          </w:p>
        </w:tc>
        <w:tc>
          <w:tcPr>
            <w:tcW w:w="4302"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204公共安全支出</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77.80</w:t>
            </w:r>
          </w:p>
        </w:tc>
        <w:tc>
          <w:tcPr>
            <w:tcW w:w="4302"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20499其他公共安全支出</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77.80</w:t>
            </w:r>
          </w:p>
        </w:tc>
        <w:tc>
          <w:tcPr>
            <w:tcW w:w="4302"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2049999其他公共安全支出</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173.60</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77.80</w:t>
            </w:r>
          </w:p>
        </w:tc>
        <w:tc>
          <w:tcPr>
            <w:tcW w:w="4302"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95.80</w:t>
            </w:r>
          </w:p>
        </w:tc>
      </w:tr>
      <w:bookmarkEnd w:id="22"/>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4"/>
    </w:p>
    <w:p>
      <w:pPr>
        <w:rPr>
          <w:rFonts w:hint="eastAsia"/>
        </w:rPr>
      </w:pPr>
      <w:bookmarkStart w:id="25" w:name="PO_part2Table6"/>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6" w:name="PO_part2Table6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26"/>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top"/>
          </w:tcPr>
          <w:p>
            <w:pPr>
              <w:rPr>
                <w:rFonts w:hint="eastAsia"/>
                <w:sz w:val="18"/>
                <w:szCs w:val="18"/>
              </w:rPr>
            </w:pPr>
          </w:p>
        </w:tc>
        <w:tc>
          <w:tcPr>
            <w:tcW w:w="4725" w:type="dxa"/>
            <w:noWrap w:val="0"/>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[[301]工资福利支出</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[505]对事业单位经常性补助</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 xml:space="preserve">  [30102]津贴补贴</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[50501]工资福利支出</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42.89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 xml:space="preserve">  [30103]奖金</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 xml:space="preserve">  [50501]工资福利支出</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[302]商品和服务支出</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[505]对事业单位经常性补助</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 xml:space="preserve">  [30201]办公费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 xml:space="preserve"> [50502]商品和服务支出</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 xml:space="preserve">  [30217]公务接待费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[50502]商品和服务支出</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[30231]公务用车运行维护费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 xml:space="preserve"> [50502]商品和服务支出</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 xml:space="preserve"> [30239]其他交通费用</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 xml:space="preserve">  [50502]商品和服务支出</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[303]对个人和家庭的补助</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[509]对个人和家庭的补助</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 xml:space="preserve"> [30399]其他对个人和家庭的补助</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 xml:space="preserve">  [50999]其他对个人和家庭补助</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0.42</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7"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7"/>
      <w:r>
        <w:rPr>
          <w:rFonts w:hint="eastAsia" w:ascii="宋体" w:hAnsi="宋体" w:cs="宋体"/>
          <w:color w:val="000000"/>
          <w:kern w:val="0"/>
          <w:sz w:val="18"/>
          <w:szCs w:val="18"/>
          <w:lang w:val="en-US" w:eastAsia="zh-CN" w:bidi="ar"/>
        </w:rPr>
        <w:t xml:space="preserve"> </w:t>
      </w:r>
      <w:bookmarkEnd w:id="25"/>
      <w:r>
        <w:rPr>
          <w:rFonts w:hint="eastAsia" w:ascii="宋体" w:hAnsi="宋体" w:cs="宋体"/>
          <w:color w:val="000000"/>
          <w:kern w:val="0"/>
          <w:sz w:val="18"/>
          <w:szCs w:val="18"/>
          <w:lang w:val="en-US" w:eastAsia="zh-CN" w:bidi="ar"/>
        </w:rPr>
        <w:t xml:space="preserve"> </w:t>
      </w:r>
    </w:p>
    <w:p>
      <w:pPr>
        <w:rPr>
          <w:rFonts w:hint="eastAsia"/>
        </w:rPr>
      </w:pPr>
      <w:bookmarkStart w:id="28" w:name="PO_part2Table8"/>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9" w:name="PO_part2Table8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29"/>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2.77</w:t>
            </w:r>
          </w:p>
        </w:tc>
        <w:tc>
          <w:tcPr>
            <w:tcW w:w="220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2.77</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2.57</w:t>
            </w:r>
          </w:p>
        </w:tc>
        <w:tc>
          <w:tcPr>
            <w:tcW w:w="2204" w:type="dxa"/>
            <w:noWrap w:val="0"/>
            <w:vAlign w:val="center"/>
          </w:tcPr>
          <w:p>
            <w:pPr>
              <w:jc w:val="right"/>
              <w:rPr>
                <w:rFonts w:hint="default" w:eastAsia="宋体"/>
                <w:sz w:val="18"/>
                <w:szCs w:val="18"/>
                <w:lang w:val="en-US" w:eastAsia="zh-CN"/>
              </w:rPr>
            </w:pPr>
            <w:r>
              <w:rPr>
                <w:rFonts w:hint="eastAsia"/>
                <w:sz w:val="18"/>
                <w:szCs w:val="18"/>
                <w:lang w:val="en-US" w:eastAsia="zh-CN"/>
              </w:rPr>
              <w:t>2.57</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2.57</w:t>
            </w:r>
          </w:p>
        </w:tc>
        <w:tc>
          <w:tcPr>
            <w:tcW w:w="220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2.57</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0.2</w:t>
            </w:r>
          </w:p>
        </w:tc>
        <w:tc>
          <w:tcPr>
            <w:tcW w:w="220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0.2</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30"/>
    </w:p>
    <w:p>
      <w:pPr>
        <w:rPr>
          <w:rFonts w:hint="eastAsia"/>
        </w:rPr>
      </w:pPr>
      <w:bookmarkStart w:id="31" w:name="PO_part2Table9"/>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2" w:name="PO_part2Table9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32"/>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其他支出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彩票公益金安排的支出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2296003</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用于体育事业的彩票公益金支出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2296004</w:t>
            </w:r>
          </w:p>
        </w:tc>
        <w:tc>
          <w:tcPr>
            <w:tcW w:w="336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用于教育事业的彩票公益金支出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3" w:name="PO_part1remark8"/>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1"/>
      <w:r>
        <w:rPr>
          <w:rFonts w:ascii="宋体" w:hAnsi="宋体" w:cs="宋体"/>
          <w:color w:val="000000"/>
          <w:kern w:val="0"/>
          <w:sz w:val="18"/>
          <w:szCs w:val="18"/>
          <w:lang w:bidi="ar"/>
        </w:rPr>
        <w:br w:type="page"/>
      </w:r>
      <w:bookmarkStart w:id="34" w:name="PO_part2Table10"/>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5" w:name="PO_part2Table10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中山市民众街道网格和大数据事务中心</w:t>
            </w:r>
            <w:r>
              <w:rPr>
                <w:rFonts w:hint="eastAsia" w:ascii="宋体" w:hAnsi="宋体"/>
                <w:color w:val="000000"/>
                <w:kern w:val="0"/>
                <w:sz w:val="18"/>
                <w:szCs w:val="18"/>
              </w:rPr>
              <w:t xml:space="preserve"> </w:t>
            </w:r>
            <w:bookmarkEnd w:id="35"/>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解决历史遗留问题及改革成本支出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厂办大集体改革支出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bookmarkEnd w:id="34"/>
    </w:tbl>
    <w:p>
      <w:pPr>
        <w:rPr>
          <w:rFonts w:hint="eastAsia" w:ascii="宋体" w:hAnsi="宋体" w:cs="宋体"/>
          <w:color w:val="000000"/>
          <w:kern w:val="0"/>
          <w:sz w:val="18"/>
          <w:szCs w:val="18"/>
          <w:lang w:bidi="ar"/>
        </w:rPr>
      </w:pPr>
      <w:bookmarkStart w:id="36" w:name="PO_part2Table13"/>
      <w:r>
        <w:rPr>
          <w:rFonts w:hint="eastAsia" w:ascii="宋体" w:hAnsi="宋体" w:cs="宋体"/>
          <w:color w:val="000000"/>
          <w:kern w:val="0"/>
          <w:sz w:val="18"/>
          <w:szCs w:val="18"/>
          <w:lang w:bidi="ar"/>
        </w:rPr>
        <w:t>注：</w:t>
      </w:r>
      <w:bookmarkStart w:id="37"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bookmarkEnd w:id="36"/>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8"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8"/>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9"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年本部门收入预算</w:t>
      </w:r>
      <w:bookmarkStart w:id="40" w:name="PO_part3A1Amount1"/>
      <w:r>
        <w:rPr>
          <w:rFonts w:hint="eastAsia" w:ascii="仿宋_GB2312" w:hAnsi="仿宋_GB2312" w:eastAsia="仿宋_GB2312" w:cs="仿宋_GB2312"/>
          <w:sz w:val="30"/>
          <w:szCs w:val="30"/>
          <w:lang w:val="en-US" w:eastAsia="zh-CN"/>
        </w:rPr>
        <w:t>173.60</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万元，比上年</w:t>
      </w:r>
      <w:bookmarkStart w:id="41"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162.61</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万元，</w:t>
      </w:r>
      <w:bookmarkStart w:id="42"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1480</w:t>
      </w:r>
      <w:r>
        <w:rPr>
          <w:rFonts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%，主要原因是</w:t>
      </w:r>
      <w:bookmarkStart w:id="43" w:name="PO_part3A1IncReason1"/>
      <w:r>
        <w:rPr>
          <w:rFonts w:hint="eastAsia" w:ascii="仿宋_GB2312" w:hAnsi="仿宋_GB2312" w:eastAsia="仿宋_GB2312" w:cs="仿宋_GB2312"/>
          <w:sz w:val="30"/>
          <w:szCs w:val="30"/>
          <w:lang w:eastAsia="zh-CN"/>
        </w:rPr>
        <w:t>增</w:t>
      </w:r>
      <w:r>
        <w:rPr>
          <w:rFonts w:hint="eastAsia" w:ascii="仿宋_GB2312" w:hAnsi="仿宋_GB2312" w:eastAsia="仿宋_GB2312" w:cs="仿宋_GB2312"/>
          <w:sz w:val="30"/>
          <w:szCs w:val="30"/>
          <w:lang w:val="en-US" w:eastAsia="zh-CN"/>
        </w:rPr>
        <w:t>2022年新增了人员经费和村级社会治理综合网格建设专项经费</w:t>
      </w:r>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；支出预算</w:t>
      </w:r>
      <w:r>
        <w:rPr>
          <w:rFonts w:hint="eastAsia" w:ascii="仿宋_GB2312" w:hAnsi="仿宋_GB2312" w:eastAsia="仿宋_GB2312" w:cs="仿宋_GB2312"/>
          <w:sz w:val="30"/>
          <w:szCs w:val="30"/>
          <w:lang w:val="en-US" w:eastAsia="zh-CN"/>
        </w:rPr>
        <w:t>173.60</w:t>
      </w:r>
      <w:r>
        <w:rPr>
          <w:rFonts w:hint="eastAsia" w:ascii="仿宋_GB2312" w:hAnsi="仿宋_GB2312" w:eastAsia="仿宋_GB2312" w:cs="仿宋_GB2312"/>
          <w:sz w:val="30"/>
          <w:szCs w:val="30"/>
        </w:rPr>
        <w:t>万元，比上年</w:t>
      </w:r>
      <w:bookmarkStart w:id="44" w:name="PO_part3A1IncAmount2"/>
      <w:r>
        <w:rPr>
          <w:rFonts w:hint="eastAsia" w:ascii="仿宋_GB2312" w:hAnsi="仿宋_GB2312" w:eastAsia="仿宋_GB2312" w:cs="仿宋_GB2312"/>
          <w:sz w:val="30"/>
          <w:szCs w:val="30"/>
        </w:rPr>
        <w:t>增加</w:t>
      </w:r>
      <w:bookmarkEnd w:id="44"/>
      <w:r>
        <w:rPr>
          <w:rFonts w:hint="eastAsia" w:ascii="仿宋_GB2312" w:hAnsi="仿宋_GB2312" w:eastAsia="仿宋_GB2312" w:cs="仿宋_GB2312"/>
          <w:sz w:val="30"/>
          <w:szCs w:val="30"/>
          <w:lang w:val="en-US" w:eastAsia="zh-CN"/>
        </w:rPr>
        <w:t>162.61</w:t>
      </w:r>
      <w:r>
        <w:rPr>
          <w:rFonts w:hint="eastAsia" w:ascii="仿宋_GB2312" w:hAnsi="仿宋_GB2312" w:eastAsia="仿宋_GB2312" w:cs="仿宋_GB2312"/>
          <w:sz w:val="30"/>
          <w:szCs w:val="30"/>
        </w:rPr>
        <w:t>万元，</w:t>
      </w:r>
      <w:bookmarkStart w:id="45"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1480</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eastAsia="zh-CN"/>
        </w:rPr>
        <w:t>增</w:t>
      </w:r>
      <w:r>
        <w:rPr>
          <w:rFonts w:hint="eastAsia" w:ascii="仿宋_GB2312" w:hAnsi="仿宋_GB2312" w:eastAsia="仿宋_GB2312" w:cs="仿宋_GB2312"/>
          <w:sz w:val="30"/>
          <w:szCs w:val="30"/>
          <w:lang w:val="en-US" w:eastAsia="zh-CN"/>
        </w:rPr>
        <w:t>2022年新增了人员经费和村级社会治理综合网格建设专项经费</w:t>
      </w:r>
      <w:r>
        <w:rPr>
          <w:rFonts w:hint="eastAsia" w:ascii="仿宋_GB2312" w:hAnsi="仿宋_GB2312" w:eastAsia="仿宋_GB2312" w:cs="仿宋_GB2312"/>
          <w:sz w:val="11"/>
          <w:szCs w:val="11"/>
        </w:rPr>
        <w:t xml:space="preserve"> </w:t>
      </w:r>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6" w:name="PO_part3A2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年本部门财政拨款安排“三公”经费</w:t>
      </w:r>
      <w:bookmarkStart w:id="47" w:name="PO_part3A2Amount1"/>
      <w:r>
        <w:rPr>
          <w:rFonts w:hint="eastAsia" w:ascii="仿宋_GB2312" w:hAnsi="仿宋_GB2312" w:eastAsia="仿宋_GB2312" w:cs="仿宋_GB2312"/>
          <w:sz w:val="30"/>
          <w:szCs w:val="30"/>
          <w:lang w:val="en-US" w:eastAsia="zh-CN"/>
        </w:rPr>
        <w:t>2.77</w:t>
      </w:r>
      <w:r>
        <w:rPr>
          <w:rFonts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万元，比上年</w:t>
      </w:r>
      <w:bookmarkStart w:id="48" w:name="PO_part3A2IncAmount1"/>
      <w:r>
        <w:rPr>
          <w:rFonts w:hint="eastAsia" w:ascii="仿宋_GB2312" w:hAnsi="仿宋_GB2312" w:eastAsia="仿宋_GB2312" w:cs="仿宋_GB2312"/>
          <w:sz w:val="30"/>
          <w:szCs w:val="30"/>
        </w:rPr>
        <w:t>增减</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万元，</w:t>
      </w:r>
      <w:bookmarkStart w:id="49" w:name="PO_part3A2IncPercent1"/>
      <w:r>
        <w:rPr>
          <w:rFonts w:hint="eastAsia" w:ascii="仿宋_GB2312" w:hAnsi="仿宋_GB2312" w:eastAsia="仿宋_GB2312" w:cs="仿宋_GB2312"/>
          <w:sz w:val="30"/>
          <w:szCs w:val="30"/>
        </w:rPr>
        <w:t>增降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%，主要原因是</w:t>
      </w:r>
      <w:bookmarkStart w:id="50"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。其中：因公出国（境）费</w:t>
      </w:r>
      <w:bookmarkStart w:id="51" w:name="PO_part3A2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万元，比上年</w:t>
      </w:r>
      <w:bookmarkStart w:id="52" w:name="PO_part3A2IncAmount2"/>
      <w:r>
        <w:rPr>
          <w:rFonts w:hint="eastAsia" w:ascii="仿宋_GB2312" w:hAnsi="仿宋_GB2312" w:eastAsia="仿宋_GB2312" w:cs="仿宋_GB2312"/>
          <w:sz w:val="30"/>
          <w:szCs w:val="30"/>
        </w:rPr>
        <w:t>增减</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万元，</w:t>
      </w:r>
      <w:bookmarkStart w:id="53" w:name="PO_part3A2IncPercent2"/>
      <w:r>
        <w:rPr>
          <w:rFonts w:hint="eastAsia" w:ascii="仿宋_GB2312" w:hAnsi="仿宋_GB2312" w:eastAsia="仿宋_GB2312" w:cs="仿宋_GB2312"/>
          <w:sz w:val="30"/>
          <w:szCs w:val="30"/>
        </w:rPr>
        <w:t>增降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%，主要原因是</w:t>
      </w:r>
      <w:bookmarkStart w:id="54" w:name="PO_part3A2IncReason2"/>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；公务用车购置及运行费</w:t>
      </w:r>
      <w:bookmarkStart w:id="55" w:name="PO_part3A2Amount3"/>
      <w:r>
        <w:rPr>
          <w:rFonts w:hint="eastAsia" w:ascii="仿宋_GB2312" w:hAnsi="仿宋_GB2312" w:eastAsia="仿宋_GB2312" w:cs="仿宋_GB2312"/>
          <w:sz w:val="30"/>
          <w:szCs w:val="30"/>
          <w:lang w:val="en-US" w:eastAsia="zh-CN"/>
        </w:rPr>
        <w:t>2.57</w:t>
      </w:r>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万元（公务用车购置费</w:t>
      </w:r>
      <w:bookmarkStart w:id="56"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7" w:name="PO_part3A2IncAmount5"/>
      <w:r>
        <w:rPr>
          <w:rFonts w:hint="eastAsia" w:ascii="仿宋_GB2312" w:hAnsi="仿宋_GB2312" w:eastAsia="仿宋_GB2312" w:cs="仿宋_GB2312"/>
          <w:sz w:val="30"/>
          <w:szCs w:val="30"/>
        </w:rPr>
        <w:t>增减</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58" w:name="PO_part3A2Amount5"/>
      <w:r>
        <w:rPr>
          <w:rFonts w:hint="eastAsia" w:ascii="仿宋_GB2312" w:hAnsi="仿宋_GB2312" w:eastAsia="仿宋_GB2312" w:cs="仿宋_GB2312"/>
          <w:sz w:val="30"/>
          <w:szCs w:val="30"/>
          <w:lang w:val="en-US" w:eastAsia="zh-CN"/>
        </w:rPr>
        <w:t>2.57</w:t>
      </w:r>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9" w:name="PO_part3A2IncAmount6"/>
      <w:r>
        <w:rPr>
          <w:rFonts w:hint="eastAsia" w:ascii="仿宋_GB2312" w:hAnsi="仿宋_GB2312" w:eastAsia="仿宋_GB2312" w:cs="仿宋_GB2312"/>
          <w:sz w:val="30"/>
          <w:szCs w:val="30"/>
        </w:rPr>
        <w:t>增减</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比上年</w:t>
      </w:r>
      <w:bookmarkStart w:id="60" w:name="PO_part3A2IncAmount3"/>
      <w:r>
        <w:rPr>
          <w:rFonts w:hint="eastAsia" w:ascii="仿宋_GB2312" w:hAnsi="仿宋_GB2312" w:eastAsia="仿宋_GB2312" w:cs="仿宋_GB2312"/>
          <w:sz w:val="30"/>
          <w:szCs w:val="30"/>
        </w:rPr>
        <w:t>增减</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万元，</w:t>
      </w:r>
      <w:bookmarkStart w:id="61" w:name="PO_part3A2IncPercent3"/>
      <w:r>
        <w:rPr>
          <w:rFonts w:hint="eastAsia" w:ascii="仿宋_GB2312" w:hAnsi="仿宋_GB2312" w:eastAsia="仿宋_GB2312" w:cs="仿宋_GB2312"/>
          <w:sz w:val="30"/>
          <w:szCs w:val="30"/>
        </w:rPr>
        <w:t>增降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%，主要原因是</w:t>
      </w:r>
      <w:bookmarkStart w:id="62" w:name="PO_part3A2IncReason3"/>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；公务接待费</w:t>
      </w:r>
      <w:bookmarkStart w:id="63" w:name="PO_part3A2Amount6"/>
      <w:r>
        <w:rPr>
          <w:rFonts w:hint="eastAsia" w:ascii="仿宋_GB2312" w:hAnsi="仿宋_GB2312" w:eastAsia="仿宋_GB2312" w:cs="仿宋_GB2312"/>
          <w:sz w:val="30"/>
          <w:szCs w:val="30"/>
          <w:lang w:val="en-US" w:eastAsia="zh-CN"/>
        </w:rPr>
        <w:t>0.2</w:t>
      </w:r>
      <w:r>
        <w:rPr>
          <w:rFonts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万元，比上年</w:t>
      </w:r>
      <w:bookmarkStart w:id="64" w:name="PO_part3A2IncAmount4"/>
      <w:r>
        <w:rPr>
          <w:rFonts w:hint="eastAsia" w:ascii="仿宋_GB2312" w:hAnsi="仿宋_GB2312" w:eastAsia="仿宋_GB2312" w:cs="仿宋_GB2312"/>
          <w:sz w:val="30"/>
          <w:szCs w:val="30"/>
        </w:rPr>
        <w:t>增减</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万元，</w:t>
      </w:r>
      <w:bookmarkStart w:id="65" w:name="PO_part3A2IncPercent4"/>
      <w:r>
        <w:rPr>
          <w:rFonts w:hint="eastAsia" w:ascii="仿宋_GB2312" w:hAnsi="仿宋_GB2312" w:eastAsia="仿宋_GB2312" w:cs="仿宋_GB2312"/>
          <w:sz w:val="30"/>
          <w:szCs w:val="30"/>
        </w:rPr>
        <w:t>增降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%，主要原因是</w:t>
      </w:r>
      <w:bookmarkStart w:id="66"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67" w:name="PO_part3A3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年，本部门机关运行经费安排</w:t>
      </w:r>
      <w:bookmarkStart w:id="68" w:name="PO_part3A3Amount1"/>
      <w:r>
        <w:rPr>
          <w:rFonts w:ascii="仿宋_GB2312" w:hAnsi="仿宋_GB2312" w:eastAsia="仿宋_GB2312" w:cs="仿宋_GB2312"/>
          <w:sz w:val="30"/>
          <w:szCs w:val="30"/>
        </w:rPr>
        <w:t xml:space="preserve"> </w:t>
      </w:r>
      <w:bookmarkEnd w:id="68"/>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万元，比上年</w:t>
      </w:r>
      <w:bookmarkStart w:id="69" w:name="PO_part3A3IncAmount1"/>
      <w:r>
        <w:rPr>
          <w:rFonts w:hint="eastAsia" w:ascii="仿宋_GB2312" w:hAnsi="仿宋_GB2312" w:eastAsia="仿宋_GB2312" w:cs="仿宋_GB2312"/>
          <w:sz w:val="30"/>
          <w:szCs w:val="30"/>
        </w:rPr>
        <w:t>增减</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9"/>
      <w:r>
        <w:rPr>
          <w:rFonts w:hint="eastAsia" w:ascii="仿宋_GB2312" w:hAnsi="仿宋_GB2312" w:eastAsia="仿宋_GB2312" w:cs="仿宋_GB2312"/>
          <w:sz w:val="30"/>
          <w:szCs w:val="30"/>
        </w:rPr>
        <w:t>万元，</w:t>
      </w:r>
      <w:bookmarkStart w:id="70" w:name="PO_part3A3IncPercent1"/>
      <w:r>
        <w:rPr>
          <w:rFonts w:hint="eastAsia" w:ascii="仿宋_GB2312" w:hAnsi="仿宋_GB2312" w:eastAsia="仿宋_GB2312" w:cs="仿宋_GB2312"/>
          <w:sz w:val="30"/>
          <w:szCs w:val="30"/>
        </w:rPr>
        <w:t>增降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%，主要原因是</w:t>
      </w:r>
      <w:bookmarkStart w:id="71" w:name="PO_part3A3IncReason1"/>
      <w:r>
        <w:rPr>
          <w:rFonts w:hint="eastAsia" w:ascii="仿宋_GB2312" w:hAnsi="仿宋_GB2312" w:eastAsia="仿宋_GB2312" w:cs="仿宋_GB2312"/>
          <w:sz w:val="30"/>
          <w:szCs w:val="30"/>
        </w:rPr>
        <w:t xml:space="preserve">本部门为非参照公务员法管理的事业单位，按照上述定义，本部门无机关运行经费。 </w:t>
      </w:r>
      <w:bookmarkEnd w:id="71"/>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72" w:name="PO_part3A4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年本部门政府采购安排</w:t>
      </w:r>
      <w:bookmarkStart w:id="73" w:name="PO_part3A4Amount1"/>
      <w:r>
        <w:rPr>
          <w:rFonts w:hint="eastAsia" w:ascii="仿宋_GB2312" w:hAnsi="仿宋_GB2312" w:eastAsia="仿宋_GB2312" w:cs="仿宋_GB2312"/>
          <w:sz w:val="30"/>
          <w:szCs w:val="30"/>
          <w:lang w:val="en-US" w:eastAsia="zh-CN"/>
        </w:rPr>
        <w:t>1.3</w:t>
      </w:r>
      <w:r>
        <w:rPr>
          <w:rFonts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万元，其中：货物类采购预算</w:t>
      </w:r>
      <w:bookmarkStart w:id="74" w:name="PO_part3A4Amount2"/>
      <w:r>
        <w:rPr>
          <w:rFonts w:hint="eastAsia" w:ascii="仿宋_GB2312" w:hAnsi="仿宋_GB2312" w:eastAsia="仿宋_GB2312" w:cs="仿宋_GB2312"/>
          <w:sz w:val="30"/>
          <w:szCs w:val="30"/>
          <w:lang w:val="en-US" w:eastAsia="zh-CN"/>
        </w:rPr>
        <w:t>1.3</w:t>
      </w:r>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万元，工程类采购预算</w:t>
      </w:r>
      <w:bookmarkStart w:id="75" w:name="PO_part3A4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万元，服务类采购预算</w:t>
      </w:r>
      <w:bookmarkStart w:id="76" w:name="PO_part3A4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77" w:name="PO_part3A5Year1"/>
      <w:r>
        <w:rPr>
          <w:rFonts w:hint="eastAsia" w:ascii="仿宋_GB2312" w:hAnsi="仿宋_GB2312" w:eastAsia="仿宋_GB2312" w:cs="仿宋_GB2312"/>
          <w:sz w:val="30"/>
          <w:szCs w:val="30"/>
          <w:lang w:val="en-US" w:eastAsia="zh-CN"/>
        </w:rPr>
        <w:t>2021</w:t>
      </w:r>
      <w:r>
        <w:rPr>
          <w:rFonts w:ascii="仿宋_GB2312" w:hAnsi="仿宋_GB2312" w:eastAsia="仿宋_GB2312" w:cs="仿宋_GB2312"/>
          <w:sz w:val="11"/>
          <w:szCs w:val="11"/>
        </w:rPr>
        <w:t xml:space="preserve"> </w:t>
      </w:r>
      <w:bookmarkEnd w:id="77"/>
      <w:r>
        <w:rPr>
          <w:rFonts w:hint="eastAsia" w:ascii="仿宋_GB2312" w:hAnsi="仿宋_GB2312" w:eastAsia="仿宋_GB2312" w:cs="仿宋_GB2312"/>
          <w:sz w:val="30"/>
          <w:szCs w:val="30"/>
        </w:rPr>
        <w:t>年</w:t>
      </w:r>
      <w:bookmarkStart w:id="78"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月</w:t>
      </w:r>
      <w:bookmarkStart w:id="79"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日，本部门固定资产金额</w:t>
      </w:r>
      <w:bookmarkStart w:id="80" w:name="PO_part3A5Amount1"/>
      <w:r>
        <w:rPr>
          <w:rFonts w:hint="eastAsia" w:ascii="仿宋_GB2312" w:hAnsi="仿宋_GB2312" w:eastAsia="仿宋_GB2312" w:cs="仿宋_GB2312"/>
          <w:sz w:val="30"/>
          <w:szCs w:val="30"/>
          <w:lang w:val="en-US" w:eastAsia="zh-CN"/>
        </w:rPr>
        <w:t>12.26</w:t>
      </w:r>
      <w:r>
        <w:rPr>
          <w:rFonts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万元，分布构成情况为：房屋</w:t>
      </w:r>
      <w:bookmarkStart w:id="81" w:name="PO_part3A5Sqace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1"/>
      <w:r>
        <w:rPr>
          <w:rFonts w:hint="eastAsia" w:ascii="仿宋_GB2312" w:hAnsi="仿宋_GB2312" w:eastAsia="仿宋_GB2312" w:cs="仿宋_GB2312"/>
          <w:sz w:val="30"/>
          <w:szCs w:val="30"/>
        </w:rPr>
        <w:t>平方米，车辆</w:t>
      </w:r>
      <w:bookmarkStart w:id="82" w:name="PO_part3A5Car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2"/>
      <w:r>
        <w:rPr>
          <w:rFonts w:hint="eastAsia" w:ascii="仿宋_GB2312" w:hAnsi="仿宋_GB2312" w:eastAsia="仿宋_GB2312" w:cs="仿宋_GB2312"/>
          <w:sz w:val="30"/>
          <w:szCs w:val="30"/>
        </w:rPr>
        <w:t>辆，单价在100万元以上的设备</w:t>
      </w:r>
      <w:bookmarkStart w:id="83"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3"/>
      <w:r>
        <w:rPr>
          <w:rFonts w:hint="eastAsia" w:ascii="仿宋_GB2312" w:hAnsi="仿宋_GB2312" w:eastAsia="仿宋_GB2312" w:cs="仿宋_GB2312"/>
          <w:sz w:val="30"/>
          <w:szCs w:val="30"/>
        </w:rPr>
        <w:t>台等。本年度拟购置固定资产</w:t>
      </w:r>
      <w:bookmarkStart w:id="84" w:name="PO_part3A5Amount5"/>
      <w:r>
        <w:rPr>
          <w:rFonts w:hint="eastAsia" w:ascii="仿宋_GB2312" w:hAnsi="仿宋_GB2312" w:eastAsia="仿宋_GB2312" w:cs="仿宋_GB2312"/>
          <w:sz w:val="30"/>
          <w:szCs w:val="30"/>
          <w:lang w:val="en-US" w:eastAsia="zh-CN"/>
        </w:rPr>
        <w:t>1.3</w:t>
      </w:r>
      <w:r>
        <w:rPr>
          <w:rFonts w:ascii="仿宋_GB2312" w:hAnsi="仿宋_GB2312" w:eastAsia="仿宋_GB2312" w:cs="仿宋_GB2312"/>
          <w:sz w:val="11"/>
          <w:szCs w:val="11"/>
        </w:rPr>
        <w:t xml:space="preserve"> </w:t>
      </w:r>
      <w:bookmarkEnd w:id="84"/>
      <w:r>
        <w:rPr>
          <w:rFonts w:hint="eastAsia" w:ascii="仿宋_GB2312" w:hAnsi="仿宋_GB2312" w:eastAsia="仿宋_GB2312" w:cs="仿宋_GB2312"/>
          <w:sz w:val="30"/>
          <w:szCs w:val="30"/>
        </w:rPr>
        <w:t>万元，主要是</w:t>
      </w:r>
      <w:bookmarkStart w:id="85" w:name="PO_part3A5Detil1"/>
      <w:r>
        <w:rPr>
          <w:rFonts w:hint="eastAsia" w:ascii="仿宋_GB2312" w:hAnsi="仿宋_GB2312" w:eastAsia="仿宋_GB2312" w:cs="仿宋_GB2312"/>
          <w:sz w:val="30"/>
          <w:szCs w:val="30"/>
          <w:lang w:eastAsia="zh-CN"/>
        </w:rPr>
        <w:t>购置办公设备</w:t>
      </w:r>
      <w:r>
        <w:rPr>
          <w:rFonts w:ascii="仿宋_GB2312" w:hAnsi="仿宋_GB2312" w:eastAsia="仿宋_GB2312" w:cs="仿宋_GB2312"/>
          <w:sz w:val="11"/>
          <w:szCs w:val="11"/>
        </w:rPr>
        <w:t xml:space="preserve"> </w:t>
      </w:r>
      <w:bookmarkEnd w:id="85"/>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6"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86"/>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632" w:type="dxa"/>
            <w:noWrap w:val="0"/>
            <w:vAlign w:val="top"/>
          </w:tcPr>
          <w:p>
            <w:pPr>
              <w:rPr>
                <w:rFonts w:hint="eastAsia" w:eastAsia="宋体"/>
                <w:lang w:eastAsia="zh-CN"/>
              </w:rPr>
            </w:pPr>
            <w:bookmarkStart w:id="87" w:name="PO_part3Table6"/>
            <w:r>
              <w:rPr>
                <w:rFonts w:hint="eastAsia"/>
                <w:lang w:eastAsia="zh-CN"/>
              </w:rPr>
              <w:t>无</w:t>
            </w:r>
          </w:p>
        </w:tc>
        <w:tc>
          <w:tcPr>
            <w:tcW w:w="1876" w:type="dxa"/>
            <w:noWrap w:val="0"/>
            <w:vAlign w:val="top"/>
          </w:tcPr>
          <w:p>
            <w:pPr>
              <w:rPr>
                <w:rFonts w:hint="eastAsia" w:eastAsia="宋体"/>
                <w:lang w:eastAsia="zh-CN"/>
              </w:rPr>
            </w:pPr>
            <w:r>
              <w:rPr>
                <w:rFonts w:hint="eastAsia" w:ascii="宋体" w:hAnsi="宋体" w:cs="宋体"/>
                <w:color w:val="000000"/>
                <w:sz w:val="20"/>
                <w:szCs w:val="20"/>
                <w:lang w:eastAsia="zh-CN"/>
              </w:rPr>
              <w:t>无</w:t>
            </w:r>
          </w:p>
        </w:tc>
        <w:tc>
          <w:tcPr>
            <w:tcW w:w="2880" w:type="dxa"/>
            <w:noWrap w:val="0"/>
            <w:vAlign w:val="top"/>
          </w:tcPr>
          <w:p>
            <w:pPr>
              <w:rPr>
                <w:rFonts w:hint="eastAsia" w:eastAsia="宋体"/>
                <w:lang w:eastAsia="zh-CN"/>
              </w:rPr>
            </w:pPr>
            <w:r>
              <w:rPr>
                <w:rFonts w:hint="eastAsia" w:ascii="宋体" w:hAnsi="宋体" w:cs="宋体"/>
                <w:color w:val="000000"/>
                <w:sz w:val="20"/>
                <w:szCs w:val="2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rPr>
                <w:rFonts w:hint="eastAsia" w:eastAsia="宋体"/>
                <w:lang w:eastAsia="zh-CN"/>
              </w:rPr>
            </w:pPr>
            <w:r>
              <w:rPr>
                <w:rFonts w:hint="eastAsia" w:ascii="宋体" w:hAnsi="宋体" w:cs="宋体"/>
                <w:color w:val="000000"/>
                <w:sz w:val="20"/>
                <w:szCs w:val="20"/>
                <w:lang w:eastAsia="zh-CN"/>
              </w:rPr>
              <w:t>无</w:t>
            </w:r>
          </w:p>
        </w:tc>
        <w:tc>
          <w:tcPr>
            <w:tcW w:w="1876" w:type="dxa"/>
            <w:noWrap w:val="0"/>
            <w:vAlign w:val="top"/>
          </w:tcPr>
          <w:p>
            <w:pPr>
              <w:rPr>
                <w:rFonts w:hint="eastAsia" w:eastAsia="宋体"/>
                <w:lang w:eastAsia="zh-CN"/>
              </w:rPr>
            </w:pPr>
            <w:r>
              <w:rPr>
                <w:rFonts w:hint="eastAsia" w:ascii="宋体" w:hAnsi="宋体" w:cs="宋体"/>
                <w:color w:val="000000"/>
                <w:sz w:val="20"/>
                <w:szCs w:val="20"/>
                <w:lang w:eastAsia="zh-CN"/>
              </w:rPr>
              <w:t>无</w:t>
            </w:r>
          </w:p>
        </w:tc>
        <w:tc>
          <w:tcPr>
            <w:tcW w:w="2880" w:type="dxa"/>
            <w:noWrap w:val="0"/>
            <w:vAlign w:val="top"/>
          </w:tcPr>
          <w:p>
            <w:pPr>
              <w:rPr>
                <w:rFonts w:hint="eastAsia" w:eastAsia="宋体"/>
                <w:lang w:eastAsia="zh-CN"/>
              </w:rPr>
            </w:pPr>
            <w:r>
              <w:rPr>
                <w:rFonts w:hint="eastAsia" w:ascii="宋体" w:hAnsi="宋体" w:cs="宋体"/>
                <w:color w:val="000000"/>
                <w:sz w:val="20"/>
                <w:szCs w:val="20"/>
                <w:lang w:eastAsia="zh-CN"/>
              </w:rPr>
              <w:t>无</w:t>
            </w:r>
          </w:p>
        </w:tc>
      </w:tr>
      <w:bookmarkEnd w:id="87"/>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88"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bookmarkStart w:id="90" w:name="_GoBack"/>
      <w:bookmarkEnd w:id="90"/>
      <w:r>
        <w:rPr>
          <w:rFonts w:hint="eastAsia" w:eastAsia="宋体" w:cs="Times New Roman"/>
          <w:sz w:val="20"/>
          <w:szCs w:val="20"/>
          <w:lang w:eastAsia="zh-CN"/>
        </w:rPr>
        <w:t>”。</w:t>
      </w:r>
      <w:r>
        <w:rPr>
          <w:rFonts w:ascii="仿宋_GB2312" w:hAnsi="仿宋_GB2312" w:eastAsia="仿宋_GB2312" w:cs="仿宋_GB2312"/>
          <w:sz w:val="32"/>
          <w:szCs w:val="32"/>
        </w:rPr>
        <w:t xml:space="preserve"> </w:t>
      </w:r>
      <w:bookmarkEnd w:id="88"/>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89"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8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75E71"/>
    <w:rsid w:val="187E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2022-02-17T02:48:38Z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2B88A80856134BDABE272B52790E30AC</vt:lpwstr>
  </property>
</Properties>
</file>