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44"/>
          <w:szCs w:val="44"/>
          <w:lang w:eastAsia="zh-CN"/>
        </w:rPr>
      </w:pPr>
      <w:bookmarkStart w:id="0" w:name="PO_title"/>
      <w:r>
        <w:rPr>
          <w:rFonts w:hint="eastAsia" w:ascii="方正小标宋简体" w:hAnsi="方正小标宋简体" w:eastAsia="方正小标宋简体" w:cs="方正小标宋简体"/>
          <w:sz w:val="44"/>
          <w:szCs w:val="44"/>
          <w:lang w:eastAsia="zh-CN"/>
        </w:rPr>
        <w:t xml:space="preserve"> </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 xml:space="preserve">年 </w:t>
      </w:r>
      <w:bookmarkEnd w:id="0"/>
    </w:p>
    <w:p>
      <w:pPr>
        <w:jc w:val="center"/>
        <w:rPr>
          <w:rFonts w:hint="eastAsia" w:ascii="方正小标宋简体" w:hAnsi="方正小标宋简体" w:eastAsia="方正小标宋简体" w:cs="方正小标宋简体"/>
          <w:sz w:val="44"/>
          <w:szCs w:val="44"/>
          <w:lang w:eastAsia="zh-CN"/>
        </w:rPr>
      </w:pPr>
      <w:bookmarkStart w:id="1" w:name="PO_title1"/>
      <w:r>
        <w:rPr>
          <w:rFonts w:hint="eastAsia" w:ascii="方正小标宋简体" w:hAnsi="方正小标宋简体" w:eastAsia="方正小标宋简体" w:cs="方正小标宋简体"/>
          <w:sz w:val="44"/>
          <w:szCs w:val="44"/>
        </w:rPr>
        <w:t xml:space="preserve"> </w:t>
      </w:r>
      <w:bookmarkEnd w:id="1"/>
      <w:r>
        <w:rPr>
          <w:rFonts w:hint="eastAsia" w:ascii="方正小标宋简体" w:hAnsi="方正小标宋简体" w:eastAsia="方正小标宋简体" w:cs="方正小标宋简体"/>
          <w:sz w:val="44"/>
          <w:szCs w:val="44"/>
          <w:lang w:eastAsia="zh-CN"/>
        </w:rPr>
        <w:t>中国共产主义青年团</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中山市民众街道工作委员会</w:t>
      </w:r>
    </w:p>
    <w:p>
      <w:pPr>
        <w:jc w:val="center"/>
        <w:rPr>
          <w:rFonts w:hint="eastAsia" w:ascii="方正小标宋简体" w:hAnsi="方正小标宋简体" w:eastAsia="方正小标宋简体" w:cs="方正小标宋简体"/>
          <w:sz w:val="44"/>
          <w:szCs w:val="44"/>
          <w:lang w:eastAsia="zh-CN"/>
        </w:rPr>
        <w:sectPr>
          <w:pgSz w:w="11906" w:h="16838"/>
          <w:pgMar w:top="1440" w:right="1800" w:bottom="1440" w:left="1800" w:header="851" w:footer="992" w:gutter="0"/>
          <w:cols w:space="720" w:num="1"/>
          <w:docGrid w:type="lines" w:linePitch="312" w:charSpace="0"/>
        </w:sectPr>
      </w:pPr>
      <w:r>
        <w:rPr>
          <w:rFonts w:hint="eastAsia" w:ascii="方正小标宋简体" w:hAnsi="方正小标宋简体" w:eastAsia="方正小标宋简体" w:cs="方正小标宋简体"/>
          <w:sz w:val="44"/>
          <w:szCs w:val="44"/>
          <w:lang w:eastAsia="zh-CN"/>
        </w:rPr>
        <w:t>部门预算</w:t>
      </w:r>
      <w:bookmarkStart w:id="43" w:name="_GoBack"/>
      <w:bookmarkEnd w:id="43"/>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r>
        <w:rPr>
          <w:rFonts w:hint="eastAsia" w:ascii="黑体" w:hAnsi="黑体" w:eastAsia="黑体" w:cs="黑体"/>
          <w:b/>
          <w:sz w:val="32"/>
          <w:szCs w:val="32"/>
          <w:lang w:eastAsia="zh-CN"/>
        </w:rPr>
        <w:t>团工委</w:t>
      </w:r>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2"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2"/>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3"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r>
        <w:rPr>
          <w:rFonts w:hint="eastAsia" w:ascii="黑体" w:hAnsi="黑体" w:eastAsia="黑体" w:cs="方正小标宋简体"/>
          <w:sz w:val="44"/>
          <w:szCs w:val="44"/>
          <w:lang w:eastAsia="zh-CN"/>
        </w:rPr>
        <w:t>团工委</w:t>
      </w:r>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（一）做好青年思想政治引领，宣传党的基本路线、方针、政策，推荐优秀团员作为党的发展对象，广泛联系青年。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（二）服务基层政权建设和社会治理，带领青年在当地经济社会发展中发挥生力军和突击队作用。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（三）组织开展学习教育、创业就业、文化生活、维护权益等青年服务项目，服务青年需求、解决青年困难。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（四）推进团组织建设，扩大团组织有效覆盖面；加强团员队伍建设，落实团的规章制度，规范基础团务工作。会同有关部门做好少先队工作。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（五）指导村（社区）团的工作，推动团的工作在农村基层落实。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（六）承办党委、政府和上级团委交办的其他事项。</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numPr>
          <w:ilvl w:val="0"/>
          <w:numId w:val="0"/>
        </w:num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本部门无内设机构，由单位负责人1名、办事员1名构成。</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ind w:firstLine="640"/>
        <w:rPr>
          <w:rFonts w:hint="eastAsia" w:ascii="仿宋_GB2312" w:hAnsi="仿宋_GB2312" w:eastAsia="仿宋_GB2312" w:cs="仿宋_GB2312"/>
          <w:sz w:val="32"/>
          <w:szCs w:val="32"/>
        </w:rPr>
      </w:pPr>
      <w:bookmarkStart w:id="4" w:name="PO_part1Organization"/>
      <w:r>
        <w:rPr>
          <w:rFonts w:hint="eastAsia" w:ascii="仿宋_GB2312" w:hAnsi="仿宋_GB2312" w:eastAsia="仿宋_GB2312" w:cs="仿宋_GB2312"/>
          <w:sz w:val="32"/>
          <w:szCs w:val="32"/>
        </w:rPr>
        <w:t>本部门无下属单位，部门预算为本级预算。</w:t>
      </w:r>
      <w:bookmarkEnd w:id="4"/>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tabs>
          <w:tab w:val="center" w:pos="6979"/>
        </w:tabs>
        <w:jc w:val="left"/>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center"/>
        <w:rPr>
          <w:rFonts w:hint="eastAsia"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第二部分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年部门预算表</w:t>
      </w:r>
    </w:p>
    <w:p>
      <w:pPr>
        <w:jc w:val="left"/>
        <w:rPr>
          <w:rFonts w:hint="eastAsia"/>
        </w:rPr>
      </w:pPr>
      <w:bookmarkStart w:id="5" w:name="PO_part2Table1"/>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10630"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3544"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40.80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40.80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pStyle w:val="5"/>
              <w:keepNext w:val="0"/>
              <w:keepLines w:val="0"/>
              <w:suppressLineNumbers w:val="0"/>
              <w:spacing w:before="0" w:beforeAutospacing="0" w:after="0" w:afterAutospacing="0"/>
              <w:ind w:left="360" w:right="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40.80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40.80</w:t>
            </w:r>
          </w:p>
        </w:tc>
      </w:tr>
      <w:bookmarkEnd w:id="5"/>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6"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6"/>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7" w:name="PO_part2Table2"/>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ascii="宋体" w:hAnsi="宋体"/>
                <w:color w:val="000000"/>
                <w:kern w:val="0"/>
                <w:sz w:val="18"/>
                <w:szCs w:val="18"/>
                <w:lang w:eastAsia="zh-CN"/>
              </w:rPr>
            </w:pPr>
            <w:r>
              <w:rPr>
                <w:rFonts w:hint="eastAsia" w:ascii="宋体" w:hAnsi="宋体"/>
                <w:color w:val="000000"/>
                <w:kern w:val="0"/>
                <w:sz w:val="18"/>
                <w:szCs w:val="18"/>
              </w:rPr>
              <w:t>单位名称：中国共产主义青年团中山市民众街道工作委员会</w:t>
            </w:r>
          </w:p>
        </w:tc>
        <w:tc>
          <w:tcPr>
            <w:tcW w:w="2700"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166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1196"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94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一般公共预算</w:t>
            </w:r>
          </w:p>
        </w:tc>
        <w:tc>
          <w:tcPr>
            <w:tcW w:w="93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894"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867"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top"/>
          </w:tcPr>
          <w:p>
            <w:pPr>
              <w:keepNext w:val="0"/>
              <w:keepLines w:val="0"/>
              <w:suppressLineNumbers w:val="0"/>
              <w:spacing w:before="0" w:beforeAutospacing="0" w:after="0" w:afterAutospacing="0"/>
              <w:ind w:left="0" w:right="0"/>
              <w:rPr>
                <w:rFonts w:hint="eastAsia"/>
                <w:sz w:val="18"/>
                <w:szCs w:val="18"/>
              </w:rPr>
            </w:pPr>
          </w:p>
        </w:tc>
        <w:tc>
          <w:tcPr>
            <w:tcW w:w="1662" w:type="dxa"/>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合计</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40.80</w:t>
            </w:r>
          </w:p>
        </w:tc>
        <w:tc>
          <w:tcPr>
            <w:tcW w:w="949"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40.80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201</w:t>
            </w:r>
          </w:p>
        </w:tc>
        <w:tc>
          <w:tcPr>
            <w:tcW w:w="1662"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一般公共服务支出</w:t>
            </w:r>
          </w:p>
        </w:tc>
        <w:tc>
          <w:tcPr>
            <w:tcW w:w="1196" w:type="dxa"/>
            <w:vAlign w:val="center"/>
          </w:tcPr>
          <w:p>
            <w:pPr>
              <w:keepNext w:val="0"/>
              <w:keepLines w:val="0"/>
              <w:widowControl w:val="0"/>
              <w:suppressLineNumbers w:val="0"/>
              <w:spacing w:before="0" w:beforeAutospacing="0" w:after="0" w:afterAutospacing="0"/>
              <w:ind w:left="0" w:leftChars="0" w:right="0" w:rightChars="0"/>
              <w:jc w:val="right"/>
              <w:rPr>
                <w:rFonts w:hint="eastAsia" w:eastAsia="宋体"/>
                <w:sz w:val="18"/>
                <w:szCs w:val="18"/>
                <w:lang w:val="en-US" w:eastAsia="zh-CN"/>
              </w:rPr>
            </w:pPr>
            <w:r>
              <w:rPr>
                <w:rFonts w:hint="eastAsia" w:ascii="宋体" w:hAnsi="宋体" w:eastAsia="宋体" w:cs="Times New Roman"/>
                <w:color w:val="000000"/>
                <w:kern w:val="2"/>
                <w:sz w:val="18"/>
                <w:szCs w:val="18"/>
                <w:lang w:val="en-US" w:eastAsia="zh-CN" w:bidi="ar"/>
              </w:rPr>
              <w:t>40.80</w:t>
            </w:r>
          </w:p>
        </w:tc>
        <w:tc>
          <w:tcPr>
            <w:tcW w:w="949" w:type="dxa"/>
            <w:vAlign w:val="center"/>
          </w:tcPr>
          <w:p>
            <w:pPr>
              <w:keepNext w:val="0"/>
              <w:keepLines w:val="0"/>
              <w:widowControl w:val="0"/>
              <w:suppressLineNumbers w:val="0"/>
              <w:spacing w:before="0" w:beforeAutospacing="0" w:after="0" w:afterAutospacing="0"/>
              <w:ind w:left="0" w:leftChars="0" w:right="0" w:rightChars="0"/>
              <w:jc w:val="right"/>
              <w:rPr>
                <w:rFonts w:hint="eastAsia" w:eastAsia="宋体"/>
                <w:sz w:val="18"/>
                <w:szCs w:val="18"/>
                <w:lang w:val="en-US" w:eastAsia="zh-CN"/>
              </w:rPr>
            </w:pPr>
            <w:r>
              <w:rPr>
                <w:rFonts w:hint="eastAsia" w:ascii="宋体" w:hAnsi="宋体" w:eastAsia="宋体" w:cs="Times New Roman"/>
                <w:color w:val="000000"/>
                <w:kern w:val="2"/>
                <w:sz w:val="18"/>
                <w:szCs w:val="18"/>
                <w:lang w:val="en-US" w:eastAsia="zh-CN" w:bidi="ar"/>
              </w:rPr>
              <w:t>40.80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color w:val="000000"/>
                <w:sz w:val="18"/>
                <w:szCs w:val="18"/>
              </w:rPr>
            </w:pPr>
            <w:r>
              <w:rPr>
                <w:rFonts w:hint="eastAsia" w:ascii="宋体" w:hAnsi="宋体" w:eastAsia="宋体" w:cs="Times New Roman"/>
                <w:color w:val="000000"/>
                <w:kern w:val="0"/>
                <w:sz w:val="18"/>
                <w:szCs w:val="18"/>
                <w:lang w:val="en-US" w:eastAsia="zh-CN" w:bidi="ar"/>
              </w:rPr>
              <w:t>20129</w:t>
            </w:r>
          </w:p>
        </w:tc>
        <w:tc>
          <w:tcPr>
            <w:tcW w:w="1662"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color w:val="000000"/>
                <w:kern w:val="0"/>
                <w:sz w:val="18"/>
                <w:szCs w:val="18"/>
              </w:rPr>
            </w:pPr>
            <w:r>
              <w:rPr>
                <w:rFonts w:hint="eastAsia" w:ascii="宋体" w:hAnsi="宋体" w:eastAsia="宋体" w:cs="Times New Roman"/>
                <w:color w:val="000000"/>
                <w:kern w:val="0"/>
                <w:sz w:val="18"/>
                <w:szCs w:val="18"/>
                <w:lang w:val="en-US" w:eastAsia="zh-CN" w:bidi="ar"/>
              </w:rPr>
              <w:t>群众团体事务</w:t>
            </w:r>
          </w:p>
        </w:tc>
        <w:tc>
          <w:tcPr>
            <w:tcW w:w="1196" w:type="dxa"/>
            <w:vAlign w:val="center"/>
          </w:tcPr>
          <w:p>
            <w:pPr>
              <w:keepNext w:val="0"/>
              <w:keepLines w:val="0"/>
              <w:widowControl w:val="0"/>
              <w:suppressLineNumbers w:val="0"/>
              <w:spacing w:before="0" w:beforeAutospacing="0" w:after="0" w:afterAutospacing="0"/>
              <w:ind w:left="0" w:leftChars="0" w:right="0" w:rightChars="0"/>
              <w:jc w:val="right"/>
              <w:rPr>
                <w:rFonts w:hint="default"/>
                <w:sz w:val="18"/>
                <w:szCs w:val="18"/>
              </w:rPr>
            </w:pPr>
            <w:r>
              <w:rPr>
                <w:rFonts w:hint="eastAsia" w:ascii="宋体" w:hAnsi="宋体" w:eastAsia="宋体" w:cs="Times New Roman"/>
                <w:color w:val="000000"/>
                <w:kern w:val="2"/>
                <w:sz w:val="18"/>
                <w:szCs w:val="18"/>
                <w:lang w:val="en-US" w:eastAsia="zh-CN" w:bidi="ar"/>
              </w:rPr>
              <w:t>40.80</w:t>
            </w:r>
          </w:p>
        </w:tc>
        <w:tc>
          <w:tcPr>
            <w:tcW w:w="949" w:type="dxa"/>
            <w:vAlign w:val="center"/>
          </w:tcPr>
          <w:p>
            <w:pPr>
              <w:keepNext w:val="0"/>
              <w:keepLines w:val="0"/>
              <w:widowControl w:val="0"/>
              <w:suppressLineNumbers w:val="0"/>
              <w:spacing w:before="0" w:beforeAutospacing="0" w:after="0" w:afterAutospacing="0"/>
              <w:ind w:left="0" w:leftChars="0" w:right="0" w:rightChars="0"/>
              <w:jc w:val="right"/>
              <w:rPr>
                <w:rFonts w:hint="default"/>
                <w:sz w:val="18"/>
                <w:szCs w:val="18"/>
              </w:rPr>
            </w:pPr>
            <w:r>
              <w:rPr>
                <w:rFonts w:hint="eastAsia" w:ascii="宋体" w:hAnsi="宋体" w:eastAsia="宋体" w:cs="Times New Roman"/>
                <w:color w:val="000000"/>
                <w:kern w:val="2"/>
                <w:sz w:val="18"/>
                <w:szCs w:val="18"/>
                <w:lang w:val="en-US" w:eastAsia="zh-CN" w:bidi="ar"/>
              </w:rPr>
              <w:t>40.80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2012901</w:t>
            </w:r>
          </w:p>
        </w:tc>
        <w:tc>
          <w:tcPr>
            <w:tcW w:w="1662"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kern w:val="0"/>
                <w:sz w:val="18"/>
                <w:szCs w:val="18"/>
              </w:rPr>
              <w:t>行政运行</w:t>
            </w:r>
          </w:p>
        </w:tc>
        <w:tc>
          <w:tcPr>
            <w:tcW w:w="1196"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1.13</w:t>
            </w:r>
          </w:p>
        </w:tc>
        <w:tc>
          <w:tcPr>
            <w:tcW w:w="949"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1.13</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color w:val="000000"/>
                <w:kern w:val="0"/>
                <w:sz w:val="18"/>
                <w:szCs w:val="18"/>
              </w:rPr>
            </w:pPr>
            <w:r>
              <w:rPr>
                <w:rFonts w:hint="eastAsia" w:ascii="宋体" w:hAnsi="宋体" w:eastAsia="宋体" w:cs="Times New Roman"/>
                <w:color w:val="000000"/>
                <w:kern w:val="0"/>
                <w:sz w:val="18"/>
                <w:szCs w:val="18"/>
                <w:lang w:val="en-US" w:eastAsia="zh-CN" w:bidi="ar"/>
              </w:rPr>
              <w:t>2012999</w:t>
            </w:r>
          </w:p>
        </w:tc>
        <w:tc>
          <w:tcPr>
            <w:tcW w:w="1662"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color w:val="000000"/>
                <w:kern w:val="0"/>
                <w:sz w:val="18"/>
                <w:szCs w:val="18"/>
              </w:rPr>
            </w:pPr>
            <w:r>
              <w:rPr>
                <w:rFonts w:hint="eastAsia" w:ascii="宋体" w:hAnsi="宋体" w:eastAsia="宋体" w:cs="Times New Roman"/>
                <w:color w:val="000000"/>
                <w:kern w:val="0"/>
                <w:sz w:val="18"/>
                <w:szCs w:val="18"/>
                <w:lang w:val="en-US" w:eastAsia="zh-CN" w:bidi="ar"/>
              </w:rPr>
              <w:t>其他群众团体事务支出</w:t>
            </w:r>
          </w:p>
        </w:tc>
        <w:tc>
          <w:tcPr>
            <w:tcW w:w="1196" w:type="dxa"/>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39.67</w:t>
            </w:r>
          </w:p>
        </w:tc>
        <w:tc>
          <w:tcPr>
            <w:tcW w:w="949"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39.67</w:t>
            </w:r>
          </w:p>
        </w:tc>
        <w:tc>
          <w:tcPr>
            <w:tcW w:w="939"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102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982"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894"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982"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949"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949"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939"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894"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867"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r>
      <w:bookmarkEnd w:id="7"/>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8"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8"/>
    </w:p>
    <w:p>
      <w:pPr>
        <w:rPr>
          <w:rFonts w:hint="eastAsia"/>
        </w:rPr>
      </w:pPr>
      <w:bookmarkStart w:id="9" w:name="PO_part2Table3"/>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157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7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15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257"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top"/>
          </w:tcPr>
          <w:p>
            <w:pPr>
              <w:keepNext w:val="0"/>
              <w:keepLines w:val="0"/>
              <w:suppressLineNumbers w:val="0"/>
              <w:spacing w:before="0" w:beforeAutospacing="0" w:after="0" w:afterAutospacing="0"/>
              <w:ind w:left="0" w:right="0"/>
              <w:rPr>
                <w:rFonts w:hint="eastAsia"/>
                <w:sz w:val="18"/>
                <w:szCs w:val="18"/>
              </w:rPr>
            </w:pPr>
          </w:p>
        </w:tc>
        <w:tc>
          <w:tcPr>
            <w:tcW w:w="262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keepNext w:val="0"/>
              <w:keepLines w:val="0"/>
              <w:widowControl w:val="0"/>
              <w:suppressLineNumbers w:val="0"/>
              <w:spacing w:before="0" w:beforeAutospacing="0" w:after="0" w:afterAutospacing="0"/>
              <w:ind w:left="0" w:leftChars="0" w:right="0" w:rightChars="0"/>
              <w:jc w:val="right"/>
              <w:rPr>
                <w:rFonts w:hint="default" w:ascii="宋体" w:hAnsi="宋体"/>
                <w:color w:val="000000"/>
                <w:sz w:val="18"/>
                <w:szCs w:val="18"/>
              </w:rPr>
            </w:pPr>
            <w:r>
              <w:rPr>
                <w:rFonts w:hint="eastAsia" w:ascii="宋体" w:hAnsi="宋体" w:eastAsia="宋体" w:cs="Times New Roman"/>
                <w:color w:val="000000"/>
                <w:kern w:val="2"/>
                <w:sz w:val="18"/>
                <w:szCs w:val="18"/>
                <w:lang w:val="en-US" w:eastAsia="zh-CN" w:bidi="ar"/>
              </w:rPr>
              <w:t>40.80</w:t>
            </w:r>
          </w:p>
        </w:tc>
        <w:tc>
          <w:tcPr>
            <w:tcW w:w="115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25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201</w:t>
            </w:r>
          </w:p>
        </w:tc>
        <w:tc>
          <w:tcPr>
            <w:tcW w:w="26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一般公共服务支出</w:t>
            </w:r>
          </w:p>
        </w:tc>
        <w:tc>
          <w:tcPr>
            <w:tcW w:w="1365" w:type="dxa"/>
            <w:vAlign w:val="center"/>
          </w:tcPr>
          <w:p>
            <w:pPr>
              <w:keepNext w:val="0"/>
              <w:keepLines w:val="0"/>
              <w:widowControl w:val="0"/>
              <w:suppressLineNumbers w:val="0"/>
              <w:spacing w:before="0" w:beforeAutospacing="0" w:after="0" w:afterAutospacing="0"/>
              <w:ind w:left="0" w:leftChars="0" w:right="0" w:rightChars="0"/>
              <w:jc w:val="right"/>
              <w:rPr>
                <w:rFonts w:hint="default"/>
                <w:sz w:val="18"/>
                <w:szCs w:val="18"/>
              </w:rPr>
            </w:pPr>
            <w:r>
              <w:rPr>
                <w:rFonts w:hint="eastAsia" w:ascii="宋体" w:hAnsi="宋体" w:eastAsia="宋体" w:cs="Times New Roman"/>
                <w:color w:val="000000"/>
                <w:kern w:val="2"/>
                <w:sz w:val="18"/>
                <w:szCs w:val="18"/>
                <w:lang w:val="en-US" w:eastAsia="zh-CN" w:bidi="ar"/>
              </w:rPr>
              <w:t>40.80</w:t>
            </w:r>
          </w:p>
        </w:tc>
        <w:tc>
          <w:tcPr>
            <w:tcW w:w="115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1.13</w:t>
            </w:r>
          </w:p>
        </w:tc>
        <w:tc>
          <w:tcPr>
            <w:tcW w:w="1257"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39.67</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20129</w:t>
            </w:r>
          </w:p>
        </w:tc>
        <w:tc>
          <w:tcPr>
            <w:tcW w:w="26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群众团体事务</w:t>
            </w:r>
          </w:p>
        </w:tc>
        <w:tc>
          <w:tcPr>
            <w:tcW w:w="1365" w:type="dxa"/>
            <w:vAlign w:val="center"/>
          </w:tcPr>
          <w:p>
            <w:pPr>
              <w:keepNext w:val="0"/>
              <w:keepLines w:val="0"/>
              <w:widowControl w:val="0"/>
              <w:suppressLineNumbers w:val="0"/>
              <w:spacing w:before="0" w:beforeAutospacing="0" w:after="0" w:afterAutospacing="0"/>
              <w:ind w:left="0" w:leftChars="0" w:right="0" w:rightChars="0"/>
              <w:jc w:val="right"/>
              <w:rPr>
                <w:rFonts w:hint="default"/>
                <w:sz w:val="18"/>
                <w:szCs w:val="18"/>
              </w:rPr>
            </w:pPr>
            <w:r>
              <w:rPr>
                <w:rFonts w:hint="eastAsia" w:ascii="宋体" w:hAnsi="宋体" w:eastAsia="宋体" w:cs="Times New Roman"/>
                <w:color w:val="000000"/>
                <w:kern w:val="2"/>
                <w:sz w:val="18"/>
                <w:szCs w:val="18"/>
                <w:lang w:val="en-US" w:eastAsia="zh-CN" w:bidi="ar"/>
              </w:rPr>
              <w:t>40.80</w:t>
            </w:r>
          </w:p>
        </w:tc>
        <w:tc>
          <w:tcPr>
            <w:tcW w:w="1155" w:type="dxa"/>
            <w:vAlign w:val="center"/>
          </w:tcPr>
          <w:p>
            <w:pPr>
              <w:keepNext w:val="0"/>
              <w:keepLines w:val="0"/>
              <w:widowControl w:val="0"/>
              <w:suppressLineNumbers w:val="0"/>
              <w:spacing w:before="0" w:beforeAutospacing="0" w:after="0" w:afterAutospacing="0"/>
              <w:ind w:left="0" w:leftChars="0" w:right="0" w:rightChars="0"/>
              <w:jc w:val="right"/>
              <w:rPr>
                <w:rFonts w:hint="default"/>
                <w:sz w:val="18"/>
                <w:szCs w:val="18"/>
              </w:rPr>
            </w:pPr>
            <w:r>
              <w:rPr>
                <w:rFonts w:hint="eastAsia" w:ascii="宋体" w:hAnsi="宋体" w:eastAsia="宋体" w:cs="Times New Roman"/>
                <w:color w:val="000000"/>
                <w:kern w:val="2"/>
                <w:sz w:val="18"/>
                <w:szCs w:val="18"/>
                <w:lang w:val="en-US" w:eastAsia="zh-CN" w:bidi="ar"/>
              </w:rPr>
              <w:t>1.13</w:t>
            </w:r>
          </w:p>
        </w:tc>
        <w:tc>
          <w:tcPr>
            <w:tcW w:w="1257" w:type="dxa"/>
            <w:vAlign w:val="center"/>
          </w:tcPr>
          <w:p>
            <w:pPr>
              <w:keepNext w:val="0"/>
              <w:keepLines w:val="0"/>
              <w:widowControl w:val="0"/>
              <w:suppressLineNumbers w:val="0"/>
              <w:spacing w:before="0" w:beforeAutospacing="0" w:after="0" w:afterAutospacing="0"/>
              <w:ind w:left="0" w:leftChars="0" w:right="0" w:rightChars="0"/>
              <w:jc w:val="right"/>
              <w:rPr>
                <w:rFonts w:hint="default"/>
                <w:sz w:val="18"/>
                <w:szCs w:val="18"/>
              </w:rPr>
            </w:pPr>
            <w:r>
              <w:rPr>
                <w:rFonts w:hint="eastAsia" w:ascii="宋体" w:hAnsi="宋体" w:eastAsia="宋体" w:cs="Times New Roman"/>
                <w:color w:val="000000"/>
                <w:kern w:val="2"/>
                <w:sz w:val="18"/>
                <w:szCs w:val="18"/>
                <w:lang w:val="en-US" w:eastAsia="zh-CN" w:bidi="ar"/>
              </w:rPr>
              <w:t>39.67</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2012901</w:t>
            </w:r>
          </w:p>
        </w:tc>
        <w:tc>
          <w:tcPr>
            <w:tcW w:w="26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行政运行</w:t>
            </w:r>
          </w:p>
        </w:tc>
        <w:tc>
          <w:tcPr>
            <w:tcW w:w="1365" w:type="dxa"/>
            <w:vAlign w:val="center"/>
          </w:tcPr>
          <w:p>
            <w:pPr>
              <w:keepNext w:val="0"/>
              <w:keepLines w:val="0"/>
              <w:widowControl w:val="0"/>
              <w:suppressLineNumbers w:val="0"/>
              <w:spacing w:before="0" w:beforeAutospacing="0" w:after="0" w:afterAutospacing="0"/>
              <w:ind w:left="0" w:leftChars="0" w:right="0" w:rightChars="0"/>
              <w:jc w:val="right"/>
              <w:rPr>
                <w:rFonts w:hint="default"/>
                <w:sz w:val="18"/>
                <w:szCs w:val="18"/>
              </w:rPr>
            </w:pPr>
            <w:r>
              <w:rPr>
                <w:rFonts w:hint="eastAsia" w:ascii="宋体" w:hAnsi="宋体" w:eastAsia="宋体" w:cs="Times New Roman"/>
                <w:color w:val="000000"/>
                <w:kern w:val="2"/>
                <w:sz w:val="18"/>
                <w:szCs w:val="18"/>
                <w:lang w:val="en-US" w:eastAsia="zh-CN" w:bidi="ar"/>
              </w:rPr>
              <w:t>1.13</w:t>
            </w:r>
          </w:p>
        </w:tc>
        <w:tc>
          <w:tcPr>
            <w:tcW w:w="115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eastAsia="宋体" w:cs="Times New Roman"/>
                <w:color w:val="auto"/>
                <w:kern w:val="2"/>
                <w:sz w:val="18"/>
                <w:szCs w:val="18"/>
                <w:highlight w:val="none"/>
                <w:lang w:val="en-US" w:eastAsia="zh-CN" w:bidi="ar"/>
              </w:rPr>
              <w:t>1.13</w:t>
            </w:r>
          </w:p>
        </w:tc>
        <w:tc>
          <w:tcPr>
            <w:tcW w:w="125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suppressLineNumbers w:val="0"/>
              <w:spacing w:before="0" w:beforeAutospacing="0" w:after="0" w:afterAutospacing="0"/>
              <w:ind w:left="0" w:right="0"/>
              <w:rPr>
                <w:rFonts w:hint="default" w:ascii="宋体" w:hAnsi="宋体"/>
                <w:color w:val="000000"/>
                <w:kern w:val="0"/>
                <w:sz w:val="18"/>
                <w:szCs w:val="18"/>
              </w:rPr>
            </w:pPr>
            <w:r>
              <w:rPr>
                <w:rFonts w:hint="eastAsia" w:ascii="宋体" w:hAnsi="宋体"/>
                <w:color w:val="000000"/>
                <w:kern w:val="0"/>
                <w:sz w:val="18"/>
                <w:szCs w:val="18"/>
              </w:rPr>
              <w:t>2012999</w:t>
            </w:r>
          </w:p>
        </w:tc>
        <w:tc>
          <w:tcPr>
            <w:tcW w:w="26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kern w:val="0"/>
                <w:sz w:val="18"/>
                <w:szCs w:val="18"/>
              </w:rPr>
              <w:t>其他群众团体事务支出</w:t>
            </w:r>
          </w:p>
        </w:tc>
        <w:tc>
          <w:tcPr>
            <w:tcW w:w="136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39.67</w:t>
            </w:r>
          </w:p>
        </w:tc>
        <w:tc>
          <w:tcPr>
            <w:tcW w:w="115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1257"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39.67</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0.00</w:t>
            </w:r>
          </w:p>
        </w:tc>
      </w:tr>
      <w:bookmarkEnd w:id="9"/>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0"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0"/>
    </w:p>
    <w:p>
      <w:pPr>
        <w:rPr>
          <w:rFonts w:hint="eastAsia"/>
        </w:rPr>
      </w:pPr>
      <w:bookmarkStart w:id="11" w:name="PO_part2Table4"/>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3544"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40.80</w:t>
            </w:r>
          </w:p>
        </w:tc>
        <w:tc>
          <w:tcPr>
            <w:tcW w:w="3544" w:type="dxa"/>
            <w:tcBorders>
              <w:top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本年收入合计</w:t>
            </w: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40.80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收入总计</w:t>
            </w: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40.80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40.80</w:t>
            </w:r>
          </w:p>
        </w:tc>
      </w:tr>
      <w:bookmarkEnd w:id="11"/>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2" w:name="PO_part1remark4"/>
      <w:r>
        <w:rPr>
          <w:rFonts w:hint="eastAsia" w:ascii="宋体" w:hAnsi="宋体" w:cs="宋体"/>
          <w:color w:val="000000"/>
          <w:kern w:val="0"/>
          <w:sz w:val="18"/>
          <w:szCs w:val="18"/>
          <w:lang w:bidi="ar"/>
        </w:rPr>
        <w:t xml:space="preserve"> 表中功能分类科目，根据各部门实际预算编制情况编列。 </w:t>
      </w:r>
      <w:bookmarkEnd w:id="12"/>
    </w:p>
    <w:p>
      <w:pPr>
        <w:rPr>
          <w:rFonts w:hint="eastAsia"/>
        </w:rPr>
      </w:pPr>
      <w:bookmarkStart w:id="13" w:name="PO_part2Table5"/>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7088"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3675"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小计</w:t>
            </w:r>
          </w:p>
        </w:tc>
        <w:tc>
          <w:tcPr>
            <w:tcW w:w="231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其中：基本支出</w:t>
            </w:r>
          </w:p>
        </w:tc>
        <w:tc>
          <w:tcPr>
            <w:tcW w:w="430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    计</w:t>
            </w:r>
          </w:p>
        </w:tc>
        <w:tc>
          <w:tcPr>
            <w:tcW w:w="3675" w:type="dxa"/>
            <w:gridSpan w:val="2"/>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40.80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1.13</w:t>
            </w:r>
          </w:p>
        </w:tc>
        <w:tc>
          <w:tcPr>
            <w:tcW w:w="4302"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[201]一般公共服务支出</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40.80</w:t>
            </w:r>
          </w:p>
        </w:tc>
        <w:tc>
          <w:tcPr>
            <w:tcW w:w="2310"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1.13</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39.67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w:t>
            </w:r>
            <w:r>
              <w:rPr>
                <w:rFonts w:hint="eastAsia" w:ascii="宋体" w:hAnsi="宋体" w:cs="Times New Roman"/>
                <w:color w:val="000000"/>
                <w:sz w:val="18"/>
                <w:szCs w:val="18"/>
                <w:lang w:val="en-US" w:eastAsia="zh-CN"/>
              </w:rPr>
              <w:t>29</w:t>
            </w:r>
            <w:r>
              <w:rPr>
                <w:rFonts w:hint="eastAsia" w:ascii="宋体" w:hAnsi="宋体" w:eastAsia="宋体" w:cs="Times New Roman"/>
                <w:color w:val="000000"/>
                <w:sz w:val="18"/>
                <w:szCs w:val="18"/>
              </w:rPr>
              <w:t>]群众团体事务</w:t>
            </w:r>
          </w:p>
        </w:tc>
        <w:tc>
          <w:tcPr>
            <w:tcW w:w="3675" w:type="dxa"/>
            <w:gridSpan w:val="2"/>
            <w:vAlign w:val="center"/>
          </w:tcPr>
          <w:p>
            <w:pPr>
              <w:keepNext w:val="0"/>
              <w:keepLines w:val="0"/>
              <w:widowControl w:val="0"/>
              <w:suppressLineNumbers w:val="0"/>
              <w:spacing w:before="0" w:beforeAutospacing="0" w:after="0" w:afterAutospacing="0"/>
              <w:ind w:left="0" w:leftChars="0" w:right="0" w:rightChars="0"/>
              <w:jc w:val="right"/>
              <w:rPr>
                <w:rFonts w:hint="default" w:ascii="宋体" w:hAnsi="宋体"/>
                <w:color w:val="000000"/>
                <w:sz w:val="18"/>
                <w:szCs w:val="18"/>
              </w:rPr>
            </w:pPr>
            <w:r>
              <w:rPr>
                <w:rFonts w:hint="eastAsia" w:ascii="宋体" w:hAnsi="宋体" w:eastAsia="宋体" w:cs="Times New Roman"/>
                <w:color w:val="000000"/>
                <w:kern w:val="2"/>
                <w:sz w:val="18"/>
                <w:szCs w:val="18"/>
                <w:lang w:val="en-US" w:eastAsia="zh-CN" w:bidi="ar"/>
              </w:rPr>
              <w:t>40.80</w:t>
            </w:r>
          </w:p>
        </w:tc>
        <w:tc>
          <w:tcPr>
            <w:tcW w:w="2310" w:type="dxa"/>
            <w:vAlign w:val="center"/>
          </w:tcPr>
          <w:p>
            <w:pPr>
              <w:keepNext w:val="0"/>
              <w:keepLines w:val="0"/>
              <w:widowControl w:val="0"/>
              <w:suppressLineNumbers w:val="0"/>
              <w:spacing w:before="0" w:beforeAutospacing="0" w:after="0" w:afterAutospacing="0"/>
              <w:ind w:left="0" w:leftChars="0" w:right="0" w:rightChars="0"/>
              <w:jc w:val="right"/>
              <w:rPr>
                <w:rFonts w:hint="default" w:ascii="宋体" w:hAnsi="宋体"/>
                <w:color w:val="000000"/>
                <w:sz w:val="18"/>
                <w:szCs w:val="18"/>
              </w:rPr>
            </w:pPr>
            <w:r>
              <w:rPr>
                <w:rFonts w:hint="eastAsia" w:ascii="宋体" w:hAnsi="宋体" w:eastAsia="宋体" w:cs="Times New Roman"/>
                <w:color w:val="000000"/>
                <w:kern w:val="2"/>
                <w:sz w:val="18"/>
                <w:szCs w:val="18"/>
                <w:lang w:val="en-US" w:eastAsia="zh-CN" w:bidi="ar"/>
              </w:rPr>
              <w:t>1.13</w:t>
            </w:r>
          </w:p>
        </w:tc>
        <w:tc>
          <w:tcPr>
            <w:tcW w:w="4302" w:type="dxa"/>
            <w:vAlign w:val="center"/>
          </w:tcPr>
          <w:p>
            <w:pPr>
              <w:keepNext w:val="0"/>
              <w:keepLines w:val="0"/>
              <w:widowControl w:val="0"/>
              <w:suppressLineNumbers w:val="0"/>
              <w:spacing w:before="0" w:beforeAutospacing="0" w:after="0" w:afterAutospacing="0"/>
              <w:ind w:left="0" w:leftChars="0" w:right="0" w:rightChars="0"/>
              <w:jc w:val="right"/>
              <w:rPr>
                <w:rFonts w:hint="default" w:ascii="宋体" w:hAnsi="宋体"/>
                <w:color w:val="000000"/>
                <w:sz w:val="18"/>
                <w:szCs w:val="18"/>
              </w:rPr>
            </w:pPr>
            <w:r>
              <w:rPr>
                <w:rFonts w:hint="eastAsia" w:ascii="宋体" w:hAnsi="宋体" w:eastAsia="宋体" w:cs="Times New Roman"/>
                <w:color w:val="000000"/>
                <w:kern w:val="2"/>
                <w:sz w:val="18"/>
                <w:szCs w:val="18"/>
                <w:lang w:val="en-US" w:eastAsia="zh-CN" w:bidi="ar"/>
              </w:rPr>
              <w:t>39.67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w:t>
            </w:r>
            <w:r>
              <w:rPr>
                <w:rFonts w:hint="eastAsia" w:ascii="宋体" w:hAnsi="宋体" w:cs="Times New Roman"/>
                <w:color w:val="000000"/>
                <w:sz w:val="18"/>
                <w:szCs w:val="18"/>
                <w:lang w:val="en-US" w:eastAsia="zh-CN"/>
              </w:rPr>
              <w:t>29</w:t>
            </w:r>
            <w:r>
              <w:rPr>
                <w:rFonts w:hint="eastAsia" w:ascii="宋体" w:hAnsi="宋体" w:eastAsia="宋体" w:cs="Times New Roman"/>
                <w:color w:val="000000"/>
                <w:sz w:val="18"/>
                <w:szCs w:val="18"/>
                <w:lang w:val="en-US" w:eastAsia="zh-CN"/>
              </w:rPr>
              <w:t>01</w:t>
            </w:r>
            <w:r>
              <w:rPr>
                <w:rFonts w:hint="eastAsia" w:ascii="宋体" w:hAnsi="宋体" w:eastAsia="宋体" w:cs="Times New Roman"/>
                <w:color w:val="000000"/>
                <w:sz w:val="18"/>
                <w:szCs w:val="18"/>
              </w:rPr>
              <w:t>]行政运行</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1.13</w:t>
            </w:r>
          </w:p>
        </w:tc>
        <w:tc>
          <w:tcPr>
            <w:tcW w:w="2310"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1.13</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[2012999]其他群众团体事务支出</w:t>
            </w:r>
          </w:p>
        </w:tc>
        <w:tc>
          <w:tcPr>
            <w:tcW w:w="3675" w:type="dxa"/>
            <w:gridSpan w:val="2"/>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39.67</w:t>
            </w:r>
          </w:p>
        </w:tc>
        <w:tc>
          <w:tcPr>
            <w:tcW w:w="2310" w:type="dxa"/>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0.00</w:t>
            </w:r>
          </w:p>
        </w:tc>
        <w:tc>
          <w:tcPr>
            <w:tcW w:w="4302"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rPr>
              <w:t>39.67</w:t>
            </w:r>
          </w:p>
        </w:tc>
      </w:tr>
      <w:bookmarkEnd w:id="13"/>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4"/>
    </w:p>
    <w:p>
      <w:pPr>
        <w:rPr>
          <w:rFonts w:hint="eastAsia"/>
        </w:rPr>
      </w:pPr>
      <w:bookmarkStart w:id="15" w:name="PO_part2Table6"/>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472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725"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top"/>
          </w:tcPr>
          <w:p>
            <w:pPr>
              <w:keepNext w:val="0"/>
              <w:keepLines w:val="0"/>
              <w:suppressLineNumbers w:val="0"/>
              <w:spacing w:before="0" w:beforeAutospacing="0" w:after="0" w:afterAutospacing="0"/>
              <w:ind w:left="0" w:right="0"/>
              <w:rPr>
                <w:rFonts w:hint="eastAsia"/>
                <w:sz w:val="18"/>
                <w:szCs w:val="18"/>
              </w:rPr>
            </w:pPr>
          </w:p>
        </w:tc>
        <w:tc>
          <w:tcPr>
            <w:tcW w:w="4725"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kern w:val="0"/>
                <w:sz w:val="18"/>
                <w:szCs w:val="18"/>
              </w:rPr>
              <w:t>合    计</w:t>
            </w:r>
          </w:p>
        </w:tc>
        <w:tc>
          <w:tcPr>
            <w:tcW w:w="4725"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[302]商品和服务支出</w:t>
            </w:r>
          </w:p>
        </w:tc>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[502]机关商品和服务支出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[30201]办公费</w:t>
            </w:r>
          </w:p>
        </w:tc>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[30217]公务接待费</w:t>
            </w:r>
          </w:p>
        </w:tc>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[50206]公务接待费</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[30239]其他交通费用</w:t>
            </w:r>
          </w:p>
        </w:tc>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0.20</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6"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5"/>
      <w:bookmarkEnd w:id="16"/>
    </w:p>
    <w:p>
      <w:pPr>
        <w:rPr>
          <w:rFonts w:hint="eastAsia"/>
        </w:rPr>
      </w:pPr>
      <w:bookmarkStart w:id="17" w:name="PO_part2Table8"/>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7031" w:type="dxa"/>
            <w:gridSpan w:val="4"/>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行政经费</w:t>
            </w:r>
          </w:p>
        </w:tc>
        <w:tc>
          <w:tcPr>
            <w:tcW w:w="2204" w:type="dxa"/>
            <w:gridSpan w:val="2"/>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2.13</w:t>
            </w:r>
          </w:p>
        </w:tc>
        <w:tc>
          <w:tcPr>
            <w:tcW w:w="2204"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2.13</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“三公”经费</w:t>
            </w:r>
          </w:p>
        </w:tc>
        <w:tc>
          <w:tcPr>
            <w:tcW w:w="2204" w:type="dxa"/>
            <w:gridSpan w:val="2"/>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0.70</w:t>
            </w:r>
          </w:p>
        </w:tc>
        <w:tc>
          <w:tcPr>
            <w:tcW w:w="2204"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0.70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0.70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w:t>
            </w:r>
            <w:r>
              <w:rPr>
                <w:rFonts w:hint="eastAsia" w:ascii="宋体" w:hAnsi="宋体"/>
                <w:color w:val="000000"/>
                <w:sz w:val="18"/>
                <w:szCs w:val="18"/>
                <w:lang w:val="en-US" w:eastAsia="zh-CN"/>
              </w:rPr>
              <w:t>7</w:t>
            </w:r>
            <w:r>
              <w:rPr>
                <w:rFonts w:hint="eastAsia" w:ascii="宋体" w:hAnsi="宋体"/>
                <w:color w:val="000000"/>
                <w:sz w:val="18"/>
                <w:szCs w:val="18"/>
              </w:rPr>
              <w:t>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bookmarkEnd w:id="17"/>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8"/>
    </w:p>
    <w:p>
      <w:pPr>
        <w:rPr>
          <w:rFonts w:hint="eastAsia"/>
        </w:rPr>
      </w:pPr>
      <w:bookmarkStart w:id="19" w:name="PO_part2Table9"/>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283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18"/>
                <w:szCs w:val="18"/>
              </w:rPr>
            </w:pPr>
            <w:r>
              <w:rPr>
                <w:rFonts w:hint="eastAsia" w:ascii="宋体" w:hAnsi="宋体"/>
                <w:color w:val="000000"/>
                <w:kern w:val="0"/>
                <w:sz w:val="18"/>
                <w:szCs w:val="18"/>
              </w:rPr>
              <w:t>229</w:t>
            </w:r>
          </w:p>
        </w:tc>
        <w:tc>
          <w:tcPr>
            <w:tcW w:w="336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其他支出</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18"/>
                <w:szCs w:val="18"/>
              </w:rPr>
            </w:pPr>
            <w:r>
              <w:rPr>
                <w:rFonts w:hint="eastAsia" w:ascii="宋体" w:hAnsi="宋体"/>
                <w:color w:val="000000"/>
                <w:kern w:val="0"/>
                <w:sz w:val="18"/>
                <w:szCs w:val="18"/>
              </w:rPr>
              <w:t>22960</w:t>
            </w:r>
          </w:p>
        </w:tc>
        <w:tc>
          <w:tcPr>
            <w:tcW w:w="336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彩票公益金安排的支出</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18"/>
                <w:szCs w:val="18"/>
              </w:rPr>
            </w:pPr>
            <w:r>
              <w:rPr>
                <w:rFonts w:hint="eastAsia" w:ascii="宋体" w:hAnsi="宋体"/>
                <w:color w:val="000000"/>
                <w:kern w:val="0"/>
                <w:sz w:val="18"/>
                <w:szCs w:val="18"/>
              </w:rPr>
              <w:t>2296003</w:t>
            </w:r>
          </w:p>
        </w:tc>
        <w:tc>
          <w:tcPr>
            <w:tcW w:w="336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用于体育事业的彩票公益金支出</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2296004</w:t>
            </w:r>
          </w:p>
        </w:tc>
        <w:tc>
          <w:tcPr>
            <w:tcW w:w="336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kern w:val="0"/>
                <w:sz w:val="18"/>
                <w:szCs w:val="18"/>
              </w:rPr>
              <w:t>用于教育事业的彩票公益金支出</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0"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bookmarkEnd w:id="19"/>
      <w:bookmarkEnd w:id="20"/>
      <w:r>
        <w:rPr>
          <w:rFonts w:hint="eastAsia" w:ascii="宋体" w:hAnsi="宋体" w:eastAsia="宋体" w:cs="宋体"/>
          <w:color w:val="000000"/>
          <w:kern w:val="0"/>
          <w:sz w:val="18"/>
          <w:szCs w:val="18"/>
          <w:lang w:eastAsia="zh-CN" w:bidi="ar"/>
        </w:rPr>
        <w:t>。</w:t>
      </w:r>
      <w:r>
        <w:rPr>
          <w:rFonts w:hint="eastAsia" w:ascii="宋体" w:hAnsi="宋体" w:cs="宋体"/>
          <w:color w:val="000000"/>
          <w:kern w:val="0"/>
          <w:sz w:val="18"/>
          <w:szCs w:val="18"/>
          <w:lang w:bidi="ar"/>
        </w:rPr>
        <w:t xml:space="preserve"> </w:t>
      </w:r>
      <w:r>
        <w:rPr>
          <w:rFonts w:ascii="宋体" w:hAnsi="宋体" w:cs="宋体"/>
          <w:color w:val="000000"/>
          <w:kern w:val="0"/>
          <w:sz w:val="18"/>
          <w:szCs w:val="18"/>
          <w:lang w:bidi="ar"/>
        </w:rPr>
        <w:br w:type="page"/>
      </w:r>
      <w:bookmarkStart w:id="21" w:name="PO_part2Table10"/>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单位名称：中国共产主义青年团中山市民众街道工作委员会</w:t>
            </w:r>
          </w:p>
        </w:tc>
        <w:tc>
          <w:tcPr>
            <w:tcW w:w="283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835"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w:t>
            </w:r>
          </w:p>
        </w:tc>
        <w:tc>
          <w:tcPr>
            <w:tcW w:w="3364"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w:t>
            </w:r>
          </w:p>
        </w:tc>
        <w:tc>
          <w:tcPr>
            <w:tcW w:w="3364"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解决历史遗留问题及改革成本支出</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2230101</w:t>
            </w:r>
          </w:p>
        </w:tc>
        <w:tc>
          <w:tcPr>
            <w:tcW w:w="3364"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厂办大集体改革支出</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bookmarkEnd w:id="21"/>
    </w:tbl>
    <w:p>
      <w:pPr>
        <w:rPr>
          <w:rFonts w:hint="eastAsia" w:ascii="宋体" w:hAnsi="宋体" w:cs="宋体"/>
          <w:color w:val="000000"/>
          <w:kern w:val="0"/>
          <w:sz w:val="18"/>
          <w:szCs w:val="18"/>
          <w:lang w:bidi="ar"/>
        </w:rPr>
      </w:pPr>
      <w:bookmarkStart w:id="22" w:name="PO_part2Table13"/>
      <w:r>
        <w:rPr>
          <w:rFonts w:hint="eastAsia" w:ascii="宋体" w:hAnsi="宋体" w:cs="宋体"/>
          <w:color w:val="000000"/>
          <w:kern w:val="0"/>
          <w:sz w:val="18"/>
          <w:szCs w:val="18"/>
          <w:lang w:bidi="ar"/>
        </w:rPr>
        <w:t>注：</w:t>
      </w:r>
      <w:bookmarkStart w:id="23"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23"/>
      <w:r>
        <w:rPr>
          <w:rFonts w:hint="eastAsia" w:ascii="宋体" w:hAnsi="宋体" w:cs="宋体"/>
          <w:color w:val="000000"/>
          <w:kern w:val="0"/>
          <w:sz w:val="18"/>
          <w:szCs w:val="18"/>
          <w:lang w:bidi="ar"/>
        </w:rPr>
        <w:t xml:space="preserve"> </w:t>
      </w:r>
      <w:bookmarkEnd w:id="22"/>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hint="eastAsia" w:ascii="黑体" w:hAnsi="黑体" w:eastAsia="黑体" w:cs="方正小标宋简体"/>
          <w:sz w:val="44"/>
          <w:szCs w:val="44"/>
        </w:rPr>
      </w:pPr>
      <w:r>
        <w:rPr>
          <w:rFonts w:hint="eastAsia" w:ascii="黑体" w:hAnsi="黑体" w:eastAsia="黑体" w:cs="方正小标宋简体"/>
          <w:sz w:val="44"/>
          <w:szCs w:val="44"/>
        </w:rPr>
        <w:t xml:space="preserve">第三部分 </w:t>
      </w:r>
      <w:r>
        <w:rPr>
          <w:rFonts w:hint="eastAsia" w:ascii="黑体" w:hAnsi="黑体" w:eastAsia="黑体" w:cs="方正小标宋简体"/>
          <w:sz w:val="44"/>
          <w:szCs w:val="44"/>
          <w:lang w:val="en-US" w:eastAsia="zh-CN"/>
        </w:rPr>
        <w:t xml:space="preserve"> 2022</w:t>
      </w:r>
      <w:r>
        <w:rPr>
          <w:rFonts w:hint="eastAsia" w:ascii="黑体" w:hAnsi="黑体" w:eastAsia="黑体" w:cs="方正小标宋简体"/>
          <w:sz w:val="44"/>
          <w:szCs w:val="44"/>
        </w:rPr>
        <w:t>年部门预算情况说明</w:t>
      </w:r>
    </w:p>
    <w:p>
      <w:pPr>
        <w:tabs>
          <w:tab w:val="center" w:pos="6979"/>
        </w:tabs>
        <w:ind w:firstLine="440" w:firstLineChars="100"/>
        <w:jc w:val="center"/>
        <w:rPr>
          <w:rFonts w:hint="eastAsia" w:ascii="黑体" w:hAnsi="黑体" w:eastAsia="黑体" w:cs="方正小标宋简体"/>
          <w:sz w:val="44"/>
          <w:szCs w:val="44"/>
        </w:rPr>
      </w:pP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24" w:name="PO_part3A1Year1"/>
      <w:r>
        <w:rPr>
          <w:rFonts w:ascii="仿宋_GB2312" w:hAnsi="仿宋_GB2312" w:eastAsia="仿宋_GB2312" w:cs="仿宋_GB2312"/>
          <w:sz w:val="32"/>
          <w:szCs w:val="32"/>
        </w:rPr>
        <w:t xml:space="preserve"> </w:t>
      </w:r>
      <w:bookmarkEnd w:id="24"/>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年本部门收入预算</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color w:val="auto"/>
          <w:sz w:val="30"/>
          <w:szCs w:val="30"/>
          <w:lang w:val="en-US" w:eastAsia="zh-CN"/>
        </w:rPr>
        <w:t>0.804</w:t>
      </w:r>
      <w:r>
        <w:rPr>
          <w:rFonts w:hint="eastAsia" w:ascii="仿宋_GB2312" w:hAnsi="仿宋_GB2312" w:eastAsia="仿宋_GB2312" w:cs="仿宋_GB2312"/>
          <w:color w:val="auto"/>
          <w:sz w:val="30"/>
          <w:szCs w:val="30"/>
        </w:rPr>
        <w:t>万元，比上年</w:t>
      </w:r>
      <w:bookmarkStart w:id="25" w:name="PO_part3A1IncAmount1"/>
      <w:r>
        <w:rPr>
          <w:rFonts w:hint="eastAsia" w:ascii="仿宋_GB2312" w:hAnsi="仿宋_GB2312" w:eastAsia="仿宋_GB2312" w:cs="仿宋_GB2312"/>
          <w:color w:val="auto"/>
          <w:sz w:val="30"/>
          <w:szCs w:val="30"/>
        </w:rPr>
        <w:t>增加</w:t>
      </w:r>
      <w:bookmarkEnd w:id="25"/>
      <w:r>
        <w:rPr>
          <w:rFonts w:hint="eastAsia" w:ascii="仿宋_GB2312" w:hAnsi="仿宋_GB2312" w:eastAsia="仿宋_GB2312" w:cs="仿宋_GB2312"/>
          <w:color w:val="auto"/>
          <w:sz w:val="30"/>
          <w:szCs w:val="30"/>
          <w:lang w:val="en-US" w:eastAsia="zh-CN"/>
        </w:rPr>
        <w:t>14.87</w:t>
      </w:r>
      <w:r>
        <w:rPr>
          <w:rFonts w:hint="eastAsia" w:ascii="仿宋_GB2312" w:hAnsi="仿宋_GB2312" w:eastAsia="仿宋_GB2312" w:cs="仿宋_GB2312"/>
          <w:color w:val="auto"/>
          <w:sz w:val="30"/>
          <w:szCs w:val="30"/>
        </w:rPr>
        <w:t>万元，</w:t>
      </w:r>
      <w:bookmarkStart w:id="26" w:name="PO_part3A1IncPercent1"/>
      <w:r>
        <w:rPr>
          <w:rFonts w:hint="eastAsia" w:ascii="仿宋_GB2312" w:hAnsi="仿宋_GB2312" w:eastAsia="仿宋_GB2312" w:cs="仿宋_GB2312"/>
          <w:color w:val="auto"/>
          <w:sz w:val="30"/>
          <w:szCs w:val="30"/>
        </w:rPr>
        <w:t>增长</w:t>
      </w:r>
      <w:r>
        <w:rPr>
          <w:rFonts w:hint="eastAsia" w:ascii="仿宋_GB2312" w:hAnsi="仿宋_GB2312" w:eastAsia="仿宋_GB2312" w:cs="仿宋_GB2312"/>
          <w:color w:val="auto"/>
          <w:sz w:val="30"/>
          <w:szCs w:val="30"/>
          <w:lang w:val="en-US" w:eastAsia="zh-CN"/>
        </w:rPr>
        <w:t>57.34</w:t>
      </w:r>
      <w:r>
        <w:rPr>
          <w:rFonts w:ascii="仿宋_GB2312" w:hAnsi="仿宋_GB2312" w:eastAsia="仿宋_GB2312" w:cs="仿宋_GB2312"/>
          <w:color w:val="auto"/>
          <w:sz w:val="11"/>
          <w:szCs w:val="11"/>
        </w:rPr>
        <w:t xml:space="preserve"> </w:t>
      </w:r>
      <w:bookmarkEnd w:id="26"/>
      <w:r>
        <w:rPr>
          <w:rFonts w:hint="eastAsia" w:ascii="仿宋_GB2312" w:hAnsi="仿宋_GB2312" w:eastAsia="仿宋_GB2312" w:cs="仿宋_GB2312"/>
          <w:color w:val="auto"/>
          <w:sz w:val="30"/>
          <w:szCs w:val="30"/>
        </w:rPr>
        <w:t>%，主要原因是</w:t>
      </w:r>
      <w:r>
        <w:rPr>
          <w:rFonts w:hint="eastAsia" w:ascii="仿宋_GB2312" w:hAnsi="仿宋_GB2312" w:eastAsia="仿宋_GB2312" w:cs="仿宋_GB2312"/>
          <w:color w:val="auto"/>
          <w:sz w:val="30"/>
          <w:szCs w:val="30"/>
          <w:lang w:eastAsia="zh-CN"/>
        </w:rPr>
        <w:t>新增展翅计划补贴和两新组织团建工作专项经费</w:t>
      </w:r>
      <w:r>
        <w:rPr>
          <w:rFonts w:hint="eastAsia" w:ascii="仿宋_GB2312" w:hAnsi="仿宋_GB2312" w:eastAsia="仿宋_GB2312" w:cs="仿宋_GB2312"/>
          <w:color w:val="auto"/>
          <w:sz w:val="30"/>
          <w:szCs w:val="30"/>
        </w:rPr>
        <w:t>；支出预算40.804万元，比上年</w:t>
      </w:r>
      <w:bookmarkStart w:id="27" w:name="PO_part3A1IncAmount2"/>
      <w:r>
        <w:rPr>
          <w:rFonts w:hint="eastAsia" w:ascii="仿宋_GB2312" w:hAnsi="仿宋_GB2312" w:eastAsia="仿宋_GB2312" w:cs="仿宋_GB2312"/>
          <w:color w:val="auto"/>
          <w:sz w:val="30"/>
          <w:szCs w:val="30"/>
        </w:rPr>
        <w:t>增加</w:t>
      </w:r>
      <w:bookmarkEnd w:id="27"/>
      <w:r>
        <w:rPr>
          <w:rFonts w:hint="eastAsia" w:ascii="仿宋_GB2312" w:hAnsi="仿宋_GB2312" w:eastAsia="仿宋_GB2312" w:cs="仿宋_GB2312"/>
          <w:color w:val="auto"/>
          <w:sz w:val="30"/>
          <w:szCs w:val="30"/>
          <w:lang w:val="en-US" w:eastAsia="zh-CN"/>
        </w:rPr>
        <w:t>14.87</w:t>
      </w:r>
      <w:r>
        <w:rPr>
          <w:rFonts w:hint="eastAsia" w:ascii="仿宋_GB2312" w:hAnsi="仿宋_GB2312" w:eastAsia="仿宋_GB2312" w:cs="仿宋_GB2312"/>
          <w:color w:val="auto"/>
          <w:sz w:val="30"/>
          <w:szCs w:val="30"/>
        </w:rPr>
        <w:t>万元，</w:t>
      </w:r>
      <w:bookmarkStart w:id="28" w:name="PO_part3A1IncPercent2"/>
      <w:r>
        <w:rPr>
          <w:rFonts w:hint="eastAsia" w:ascii="仿宋_GB2312" w:hAnsi="仿宋_GB2312" w:eastAsia="仿宋_GB2312" w:cs="仿宋_GB2312"/>
          <w:color w:val="auto"/>
          <w:sz w:val="30"/>
          <w:szCs w:val="30"/>
        </w:rPr>
        <w:t>增长</w:t>
      </w:r>
      <w:bookmarkEnd w:id="28"/>
      <w:r>
        <w:rPr>
          <w:rFonts w:hint="eastAsia" w:ascii="仿宋_GB2312" w:hAnsi="仿宋_GB2312" w:eastAsia="仿宋_GB2312" w:cs="仿宋_GB2312"/>
          <w:color w:val="auto"/>
          <w:sz w:val="30"/>
          <w:szCs w:val="30"/>
          <w:lang w:val="en-US" w:eastAsia="zh-CN"/>
        </w:rPr>
        <w:t>57.34</w:t>
      </w:r>
      <w:r>
        <w:rPr>
          <w:rFonts w:ascii="仿宋_GB2312" w:hAnsi="仿宋_GB2312" w:eastAsia="仿宋_GB2312" w:cs="仿宋_GB2312"/>
          <w:color w:val="auto"/>
          <w:sz w:val="11"/>
          <w:szCs w:val="11"/>
        </w:rPr>
        <w:t xml:space="preserve"> </w:t>
      </w:r>
      <w:r>
        <w:rPr>
          <w:rFonts w:hint="eastAsia" w:ascii="仿宋_GB2312" w:hAnsi="仿宋_GB2312" w:eastAsia="仿宋_GB2312" w:cs="仿宋_GB2312"/>
          <w:color w:val="auto"/>
          <w:sz w:val="30"/>
          <w:szCs w:val="30"/>
        </w:rPr>
        <w:t>%，主要原因是</w:t>
      </w:r>
      <w:bookmarkStart w:id="29" w:name="PO_part3A1IncReason2"/>
      <w:r>
        <w:rPr>
          <w:rFonts w:hint="eastAsia" w:ascii="仿宋_GB2312" w:hAnsi="仿宋_GB2312" w:eastAsia="仿宋_GB2312" w:cs="仿宋_GB2312"/>
          <w:color w:val="auto"/>
          <w:sz w:val="30"/>
          <w:szCs w:val="30"/>
        </w:rPr>
        <w:t>新增</w:t>
      </w:r>
      <w:r>
        <w:rPr>
          <w:rFonts w:hint="eastAsia" w:ascii="仿宋_GB2312" w:hAnsi="仿宋_GB2312" w:eastAsia="仿宋_GB2312" w:cs="仿宋_GB2312"/>
          <w:sz w:val="30"/>
          <w:szCs w:val="30"/>
        </w:rPr>
        <w:t>展翅计划补贴和两新组织团建工作专项经费</w:t>
      </w:r>
      <w:r>
        <w:rPr>
          <w:rFonts w:hint="eastAsia" w:ascii="仿宋_GB2312" w:hAnsi="仿宋_GB2312" w:eastAsia="仿宋_GB2312" w:cs="仿宋_GB2312"/>
          <w:sz w:val="11"/>
          <w:szCs w:val="11"/>
        </w:rPr>
        <w:t xml:space="preserve"> </w:t>
      </w:r>
      <w:bookmarkEnd w:id="29"/>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0" w:name="PO_part3A2Year1"/>
      <w:r>
        <w:rPr>
          <w:rFonts w:ascii="仿宋_GB2312" w:hAnsi="仿宋_GB2312" w:eastAsia="仿宋_GB2312" w:cs="仿宋_GB2312"/>
          <w:sz w:val="30"/>
          <w:szCs w:val="30"/>
        </w:rPr>
        <w:t xml:space="preserve"> </w:t>
      </w:r>
      <w:bookmarkEnd w:id="30"/>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sz w:val="30"/>
          <w:szCs w:val="30"/>
          <w:lang w:val="en-US" w:eastAsia="zh-CN"/>
        </w:rPr>
        <w:t>0.7</w:t>
      </w:r>
      <w:r>
        <w:rPr>
          <w:rFonts w:hint="eastAsia" w:ascii="仿宋_GB2312" w:hAnsi="仿宋_GB2312" w:eastAsia="仿宋_GB2312" w:cs="仿宋_GB2312"/>
          <w:sz w:val="30"/>
          <w:szCs w:val="30"/>
        </w:rPr>
        <w:t>万元，</w:t>
      </w:r>
      <w:bookmarkStart w:id="31"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31"/>
      <w:r>
        <w:rPr>
          <w:rFonts w:hint="eastAsia" w:ascii="仿宋_GB2312" w:hAnsi="仿宋_GB2312" w:eastAsia="仿宋_GB2312" w:cs="仿宋_GB2312"/>
          <w:sz w:val="30"/>
          <w:szCs w:val="30"/>
        </w:rPr>
        <w:t>。</w:t>
      </w:r>
      <w:r>
        <w:rPr>
          <w:rFonts w:hint="eastAsia" w:ascii="仿宋_GB2312" w:hAnsi="仿宋_GB2312" w:eastAsia="仿宋_GB2312" w:cs="仿宋_GB2312"/>
          <w:color w:val="auto"/>
          <w:sz w:val="30"/>
          <w:szCs w:val="30"/>
        </w:rPr>
        <w:t>其中：</w:t>
      </w:r>
      <w:r>
        <w:rPr>
          <w:rFonts w:hint="eastAsia" w:ascii="仿宋_GB2312" w:hAnsi="仿宋_GB2312" w:eastAsia="仿宋_GB2312" w:cs="仿宋_GB2312"/>
          <w:sz w:val="30"/>
          <w:szCs w:val="30"/>
        </w:rPr>
        <w:t>公务接待费</w:t>
      </w:r>
      <w:r>
        <w:rPr>
          <w:rFonts w:hint="eastAsia" w:ascii="仿宋_GB2312" w:hAnsi="仿宋_GB2312" w:eastAsia="仿宋_GB2312" w:cs="仿宋_GB2312"/>
          <w:sz w:val="30"/>
          <w:szCs w:val="30"/>
          <w:lang w:val="en-US" w:eastAsia="zh-CN"/>
        </w:rPr>
        <w:t>0.7</w:t>
      </w:r>
      <w:r>
        <w:rPr>
          <w:rFonts w:hint="eastAsia" w:ascii="仿宋_GB2312" w:hAnsi="仿宋_GB2312" w:eastAsia="仿宋_GB2312" w:cs="仿宋_GB2312"/>
          <w:sz w:val="30"/>
          <w:szCs w:val="30"/>
        </w:rPr>
        <w:t>万元，</w:t>
      </w:r>
      <w:bookmarkStart w:id="32"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32"/>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33" w:name="PO_part3A3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33"/>
      <w:r>
        <w:rPr>
          <w:rFonts w:hint="eastAsia" w:ascii="仿宋_GB2312" w:hAnsi="仿宋_GB2312" w:eastAsia="仿宋_GB2312" w:cs="仿宋_GB2312"/>
          <w:sz w:val="30"/>
          <w:szCs w:val="30"/>
        </w:rPr>
        <w:t>年，本部门机关运行经费安排</w:t>
      </w:r>
      <w:bookmarkStart w:id="34" w:name="PO_part3A3Amount1"/>
      <w:r>
        <w:rPr>
          <w:rFonts w:hint="eastAsia" w:ascii="仿宋_GB2312" w:hAnsi="仿宋_GB2312" w:eastAsia="仿宋_GB2312" w:cs="仿宋_GB2312"/>
          <w:sz w:val="30"/>
          <w:szCs w:val="30"/>
          <w:lang w:val="en-US" w:eastAsia="zh-CN"/>
        </w:rPr>
        <w:t>1.134</w:t>
      </w:r>
      <w:r>
        <w:rPr>
          <w:rFonts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rPr>
        <w:t>万元，与上年持平，无增减变化</w:t>
      </w:r>
      <w:r>
        <w:rPr>
          <w:rFonts w:hint="eastAsia" w:ascii="仿宋_GB2312" w:hAnsi="仿宋_GB2312" w:eastAsia="仿宋_GB2312" w:cs="仿宋_GB2312"/>
          <w:sz w:val="30"/>
          <w:szCs w:val="30"/>
          <w:lang w:eastAsia="zh-CN"/>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color w:val="auto"/>
          <w:sz w:val="30"/>
          <w:szCs w:val="30"/>
        </w:rPr>
      </w:pPr>
      <w:r>
        <w:rPr>
          <w:rFonts w:hint="eastAsia" w:ascii="仿宋_GB2312" w:hAnsi="仿宋_GB2312" w:eastAsia="仿宋_GB2312" w:cs="仿宋_GB2312"/>
          <w:sz w:val="30"/>
          <w:szCs w:val="30"/>
        </w:rPr>
        <w:t xml:space="preserve">   </w:t>
      </w:r>
      <w:bookmarkStart w:id="35" w:name="PO_part3A4Year1"/>
      <w:r>
        <w:rPr>
          <w:rFonts w:ascii="仿宋_GB2312" w:hAnsi="仿宋_GB2312" w:eastAsia="仿宋_GB2312" w:cs="仿宋_GB2312"/>
          <w:sz w:val="30"/>
          <w:szCs w:val="30"/>
        </w:rPr>
        <w:t xml:space="preserve"> </w:t>
      </w:r>
      <w:bookmarkEnd w:id="35"/>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年本部门政府采购安排</w:t>
      </w:r>
      <w:bookmarkStart w:id="36" w:name="PO_part3A4Amount1"/>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万元，其中：</w:t>
      </w:r>
      <w:r>
        <w:rPr>
          <w:rFonts w:hint="eastAsia" w:ascii="仿宋_GB2312" w:hAnsi="仿宋_GB2312" w:eastAsia="仿宋_GB2312" w:cs="仿宋_GB2312"/>
          <w:color w:val="auto"/>
          <w:sz w:val="30"/>
          <w:szCs w:val="30"/>
        </w:rPr>
        <w:t>货物类采购预算</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万元。</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color w:val="auto"/>
          <w:sz w:val="30"/>
          <w:szCs w:val="30"/>
        </w:rPr>
        <w:t xml:space="preserve"> 截至</w:t>
      </w:r>
      <w:bookmarkStart w:id="37" w:name="PO_part3A5Year1"/>
      <w:r>
        <w:rPr>
          <w:rFonts w:hint="eastAsia" w:ascii="仿宋_GB2312" w:hAnsi="仿宋_GB2312" w:eastAsia="仿宋_GB2312" w:cs="仿宋_GB2312"/>
          <w:color w:val="auto"/>
          <w:sz w:val="30"/>
          <w:szCs w:val="30"/>
          <w:lang w:val="en-US" w:eastAsia="zh-CN"/>
        </w:rPr>
        <w:t>2021</w:t>
      </w:r>
      <w:r>
        <w:rPr>
          <w:rFonts w:ascii="仿宋_GB2312" w:hAnsi="仿宋_GB2312" w:eastAsia="仿宋_GB2312" w:cs="仿宋_GB2312"/>
          <w:color w:val="auto"/>
          <w:sz w:val="11"/>
          <w:szCs w:val="11"/>
        </w:rPr>
        <w:t xml:space="preserve"> </w:t>
      </w:r>
      <w:bookmarkEnd w:id="37"/>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31</w:t>
      </w:r>
      <w:r>
        <w:rPr>
          <w:rFonts w:hint="eastAsia" w:ascii="仿宋_GB2312" w:hAnsi="仿宋_GB2312" w:eastAsia="仿宋_GB2312" w:cs="仿宋_GB2312"/>
          <w:color w:val="auto"/>
          <w:sz w:val="30"/>
          <w:szCs w:val="30"/>
        </w:rPr>
        <w:t>日，本部门固定资产金额2</w:t>
      </w: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rPr>
        <w:t>5278万元，分布构成情况为：房屋</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color w:val="auto"/>
          <w:sz w:val="30"/>
          <w:szCs w:val="30"/>
        </w:rPr>
        <w:t>平方米，车辆</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color w:val="auto"/>
          <w:sz w:val="30"/>
          <w:szCs w:val="30"/>
        </w:rPr>
        <w:t>辆，单价在100万元以上的设备</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color w:val="auto"/>
          <w:sz w:val="30"/>
          <w:szCs w:val="30"/>
        </w:rPr>
        <w:t>台等。本年度</w:t>
      </w:r>
      <w:r>
        <w:rPr>
          <w:rFonts w:hint="eastAsia" w:ascii="仿宋_GB2312" w:hAnsi="仿宋_GB2312" w:eastAsia="仿宋_GB2312" w:cs="仿宋_GB2312"/>
          <w:sz w:val="30"/>
          <w:szCs w:val="30"/>
        </w:rPr>
        <w:t>拟购置固定资产</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万元，主要是</w:t>
      </w:r>
      <w:bookmarkStart w:id="38" w:name="PO_part3A5Detil1"/>
      <w:r>
        <w:rPr>
          <w:rFonts w:hint="eastAsia" w:ascii="仿宋_GB2312" w:hAnsi="仿宋_GB2312" w:eastAsia="仿宋_GB2312" w:cs="仿宋_GB2312"/>
          <w:sz w:val="30"/>
          <w:szCs w:val="30"/>
          <w:lang w:eastAsia="zh-CN"/>
        </w:rPr>
        <w:t>购买</w:t>
      </w:r>
      <w:bookmarkEnd w:id="38"/>
      <w:r>
        <w:rPr>
          <w:rFonts w:hint="eastAsia" w:ascii="仿宋_GB2312" w:hAnsi="仿宋_GB2312" w:eastAsia="仿宋_GB2312" w:cs="仿宋_GB2312"/>
          <w:sz w:val="30"/>
          <w:szCs w:val="30"/>
          <w:lang w:eastAsia="zh-CN"/>
        </w:rPr>
        <w:t>办公桌、办公椅、中型会议桌、文件柜、会议椅</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39"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3"/>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vAlign w:val="top"/>
          </w:tcPr>
          <w:p>
            <w:pPr>
              <w:keepNext w:val="0"/>
              <w:keepLines w:val="0"/>
              <w:suppressLineNumbers w:val="0"/>
              <w:spacing w:before="0" w:beforeAutospacing="0" w:after="0" w:afterAutospacing="0"/>
              <w:ind w:left="0" w:right="0"/>
              <w:jc w:val="center"/>
              <w:rPr>
                <w:rFonts w:hint="default"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vAlign w:val="top"/>
          </w:tcPr>
          <w:p>
            <w:pPr>
              <w:keepNext w:val="0"/>
              <w:keepLines w:val="0"/>
              <w:suppressLineNumbers w:val="0"/>
              <w:spacing w:before="0" w:beforeAutospacing="0" w:after="0" w:afterAutospacing="0"/>
              <w:ind w:left="0" w:right="0"/>
              <w:jc w:val="center"/>
              <w:rPr>
                <w:rFonts w:hint="default"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vAlign w:val="top"/>
          </w:tcPr>
          <w:p>
            <w:pPr>
              <w:keepNext w:val="0"/>
              <w:keepLines w:val="0"/>
              <w:suppressLineNumbers w:val="0"/>
              <w:spacing w:before="0" w:beforeAutospacing="0" w:after="0" w:afterAutospacing="0"/>
              <w:ind w:left="0" w:right="0"/>
              <w:jc w:val="center"/>
              <w:rPr>
                <w:rFonts w:hint="default"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32" w:type="dxa"/>
            <w:vAlign w:val="top"/>
          </w:tcPr>
          <w:p>
            <w:pPr>
              <w:keepNext w:val="0"/>
              <w:keepLines w:val="0"/>
              <w:suppressLineNumbers w:val="0"/>
              <w:spacing w:before="0" w:beforeAutospacing="0" w:after="0" w:afterAutospacing="0"/>
              <w:ind w:left="0" w:right="0"/>
              <w:rPr>
                <w:rFonts w:hint="eastAsia" w:eastAsia="宋体"/>
                <w:lang w:eastAsia="zh-CN"/>
              </w:rPr>
            </w:pPr>
            <w:bookmarkStart w:id="40" w:name="PO_part3Table6"/>
            <w:r>
              <w:rPr>
                <w:rFonts w:hint="eastAsia" w:ascii="宋体" w:hAnsi="宋体" w:cs="宋体"/>
                <w:color w:val="000000"/>
                <w:sz w:val="20"/>
                <w:szCs w:val="20"/>
                <w:lang w:eastAsia="zh-CN"/>
              </w:rPr>
              <w:t>无</w:t>
            </w:r>
          </w:p>
        </w:tc>
        <w:tc>
          <w:tcPr>
            <w:tcW w:w="1876" w:type="dxa"/>
            <w:vAlign w:val="top"/>
          </w:tcPr>
          <w:p>
            <w:pPr>
              <w:keepNext w:val="0"/>
              <w:keepLines w:val="0"/>
              <w:suppressLineNumbers w:val="0"/>
              <w:spacing w:before="0" w:beforeAutospacing="0" w:after="0" w:afterAutospacing="0"/>
              <w:ind w:left="0" w:right="0"/>
              <w:rPr>
                <w:rFonts w:hint="default"/>
              </w:rPr>
            </w:pPr>
            <w:r>
              <w:rPr>
                <w:rFonts w:hint="eastAsia" w:ascii="宋体" w:hAnsi="宋体" w:cs="宋体"/>
                <w:color w:val="000000"/>
                <w:sz w:val="20"/>
                <w:szCs w:val="20"/>
                <w:lang w:eastAsia="zh-CN"/>
              </w:rPr>
              <w:t>无</w:t>
            </w:r>
          </w:p>
        </w:tc>
        <w:tc>
          <w:tcPr>
            <w:tcW w:w="2880" w:type="dxa"/>
            <w:vAlign w:val="top"/>
          </w:tcPr>
          <w:p>
            <w:pPr>
              <w:keepNext w:val="0"/>
              <w:keepLines w:val="0"/>
              <w:suppressLineNumbers w:val="0"/>
              <w:spacing w:before="0" w:beforeAutospacing="0" w:after="0" w:afterAutospacing="0"/>
              <w:ind w:left="0" w:right="0"/>
              <w:rPr>
                <w:rFonts w:hint="default"/>
              </w:rPr>
            </w:pPr>
            <w:r>
              <w:rPr>
                <w:rFonts w:hint="eastAsia" w:ascii="宋体" w:hAnsi="宋体" w:cs="宋体"/>
                <w:color w:val="000000"/>
                <w:sz w:val="20"/>
                <w:szCs w:val="20"/>
                <w:lang w:eastAsia="zh-CN"/>
              </w:rPr>
              <w:t>无</w:t>
            </w:r>
          </w:p>
        </w:tc>
      </w:tr>
      <w:bookmarkEnd w:id="40"/>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41"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r>
        <w:rPr>
          <w:rFonts w:ascii="仿宋_GB2312" w:hAnsi="仿宋_GB2312" w:eastAsia="仿宋_GB2312" w:cs="仿宋_GB2312"/>
          <w:sz w:val="32"/>
          <w:szCs w:val="32"/>
        </w:rPr>
        <w:t xml:space="preserve"> </w:t>
      </w:r>
      <w:bookmarkEnd w:id="41"/>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42"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bookmarkEnd w:id="42"/>
    <w:p>
      <w:pPr>
        <w:spacing w:line="288" w:lineRule="auto"/>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D0441"/>
    <w:rsid w:val="04E97050"/>
    <w:rsid w:val="0CC545D2"/>
    <w:rsid w:val="12ED0441"/>
    <w:rsid w:val="1C554907"/>
    <w:rsid w:val="2D854378"/>
    <w:rsid w:val="39872779"/>
    <w:rsid w:val="3F5C32BE"/>
    <w:rsid w:val="3FF44192"/>
    <w:rsid w:val="400843AD"/>
    <w:rsid w:val="40385A75"/>
    <w:rsid w:val="45820C94"/>
    <w:rsid w:val="4B061EFA"/>
    <w:rsid w:val="5188029D"/>
    <w:rsid w:val="658B63D4"/>
    <w:rsid w:val="6FAB35EE"/>
    <w:rsid w:val="797027C5"/>
    <w:rsid w:val="799237E9"/>
    <w:rsid w:val="7DF17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民众镇政府</Company>
  <Pages>1</Pages>
  <Words>0</Words>
  <Characters>0</Characters>
  <Lines>1</Lines>
  <Paragraphs>1</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2022-02-09T02:01:00Z</dcterms:created>
  <dc:creator>何倩彤</dc:creator>
  <cp:lastModifiedBy>Administrator</cp:lastModifiedBy>
  <dcterms:modified xsi:type="dcterms:W3CDTF">2022-02-24T09:42:28Z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