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center"/>
        <w:rPr>
          <w:rFonts w:eastAsia="微软简标宋"/>
          <w:color w:val="000000" w:themeColor="text1"/>
          <w:spacing w:val="6"/>
          <w:sz w:val="44"/>
          <w:szCs w:val="44"/>
          <w14:textFill>
            <w14:solidFill>
              <w14:schemeClr w14:val="tx1"/>
            </w14:solidFill>
          </w14:textFill>
        </w:rPr>
      </w:pPr>
      <w:r>
        <w:rPr>
          <w:rFonts w:eastAsia="微软简标宋"/>
          <w:color w:val="000000" w:themeColor="text1"/>
          <w:spacing w:val="6"/>
          <w:sz w:val="44"/>
          <w:szCs w:val="44"/>
          <w14:textFill>
            <w14:solidFill>
              <w14:schemeClr w14:val="tx1"/>
            </w14:solidFill>
          </w14:textFill>
        </w:rPr>
        <w:t>东区街道促进产业发展扶持暂行办法</w:t>
      </w:r>
    </w:p>
    <w:p>
      <w:pPr>
        <w:adjustRightInd w:val="0"/>
        <w:snapToGrid w:val="0"/>
        <w:spacing w:line="336" w:lineRule="auto"/>
        <w:ind w:firstLine="667" w:firstLineChars="200"/>
        <w:rPr>
          <w:b/>
          <w:color w:val="000000" w:themeColor="text1"/>
          <w:spacing w:val="6"/>
          <w:sz w:val="32"/>
          <w:szCs w:val="32"/>
          <w14:textFill>
            <w14:solidFill>
              <w14:schemeClr w14:val="tx1"/>
            </w14:solidFill>
          </w14:textFill>
        </w:rPr>
      </w:pPr>
    </w:p>
    <w:p>
      <w:pPr>
        <w:adjustRightInd w:val="0"/>
        <w:snapToGrid w:val="0"/>
        <w:spacing w:line="336" w:lineRule="auto"/>
        <w:jc w:val="center"/>
        <w:rPr>
          <w:rFonts w:eastAsia="黑体"/>
          <w:color w:val="000000" w:themeColor="text1"/>
          <w:spacing w:val="6"/>
          <w:sz w:val="32"/>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第一章  总则</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 xml:space="preserve">第一条 </w:t>
      </w:r>
      <w:r>
        <w:rPr>
          <w:color w:val="000000" w:themeColor="text1"/>
          <w:spacing w:val="6"/>
          <w:sz w:val="32"/>
          <w:szCs w:val="32"/>
          <w14:textFill>
            <w14:solidFill>
              <w14:schemeClr w14:val="tx1"/>
            </w14:solidFill>
          </w14:textFill>
        </w:rPr>
        <w:t>为鼓励和促进东区街道重点产业发展，根据《中山市人民政府办公室关于印发中山市鼓励发展总部经济实施细则的通知》（中府办〔2020〕21号）、《中山市关于进一步帮扶小微服务业企业做大做强的实施意见》（中府〔2021〕22号）、《中山市新一代信息技术产业发展项目资助实施细则》（中工信〔2020〕384号）、《中山市企业科技创新发展专项资金使用办法》（中山科发〔2019〕254号）等文件，结合我街道实际，制定本暂行办法。</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 xml:space="preserve">第二条 </w:t>
      </w:r>
      <w:r>
        <w:rPr>
          <w:color w:val="000000" w:themeColor="text1"/>
          <w:spacing w:val="6"/>
          <w:sz w:val="32"/>
          <w:szCs w:val="32"/>
          <w14:textFill>
            <w14:solidFill>
              <w14:schemeClr w14:val="tx1"/>
            </w14:solidFill>
          </w14:textFill>
        </w:rPr>
        <w:t>本办法扶持对象是</w:t>
      </w:r>
      <w:r>
        <w:rPr>
          <w:rFonts w:hint="eastAsia"/>
          <w:color w:val="000000" w:themeColor="text1"/>
          <w:spacing w:val="6"/>
          <w:sz w:val="32"/>
          <w:szCs w:val="32"/>
          <w14:textFill>
            <w14:solidFill>
              <w14:schemeClr w14:val="tx1"/>
            </w14:solidFill>
          </w14:textFill>
        </w:rPr>
        <w:t>在东区街道</w:t>
      </w:r>
      <w:r>
        <w:rPr>
          <w:color w:val="000000" w:themeColor="text1"/>
          <w:spacing w:val="6"/>
          <w:sz w:val="32"/>
          <w:szCs w:val="32"/>
          <w14:textFill>
            <w14:solidFill>
              <w14:schemeClr w14:val="tx1"/>
            </w14:solidFill>
          </w14:textFill>
        </w:rPr>
        <w:t>注册</w:t>
      </w:r>
      <w:r>
        <w:rPr>
          <w:color w:val="000000" w:themeColor="text1"/>
          <w:spacing w:val="6"/>
          <w:sz w:val="32"/>
          <w:szCs w:val="32"/>
          <w14:textFill>
            <w14:solidFill>
              <w14:schemeClr w14:val="tx1"/>
            </w14:solidFill>
          </w14:textFill>
        </w:rPr>
        <w:t>，具有独立主体资格，管理运行规范，经营合规合法的企业、事业单位或社会团体，以及属于中山市级或三级及以上分支机构的银行、保险、证券机构。</w:t>
      </w:r>
    </w:p>
    <w:p>
      <w:pPr>
        <w:adjustRightInd w:val="0"/>
        <w:snapToGrid w:val="0"/>
        <w:spacing w:line="336" w:lineRule="auto"/>
        <w:ind w:firstLine="664" w:firstLineChars="200"/>
        <w:contextualSpacing/>
        <w:rPr>
          <w:rFonts w:eastAsia="楷体_GB2312"/>
          <w:color w:val="000000" w:themeColor="text1"/>
          <w:spacing w:val="6"/>
          <w:kern w:val="0"/>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第三条</w:t>
      </w:r>
      <w:r>
        <w:rPr>
          <w:rFonts w:eastAsia="楷体_GB2312"/>
          <w:color w:val="000000" w:themeColor="text1"/>
          <w:spacing w:val="6"/>
          <w:kern w:val="0"/>
          <w:szCs w:val="32"/>
          <w14:textFill>
            <w14:solidFill>
              <w14:schemeClr w14:val="tx1"/>
            </w14:solidFill>
          </w14:textFill>
        </w:rPr>
        <w:t xml:space="preserve"> </w:t>
      </w:r>
      <w:r>
        <w:rPr>
          <w:color w:val="000000" w:themeColor="text1"/>
          <w:spacing w:val="6"/>
          <w:sz w:val="32"/>
          <w:szCs w:val="32"/>
          <w14:textFill>
            <w14:solidFill>
              <w14:schemeClr w14:val="tx1"/>
            </w14:solidFill>
          </w14:textFill>
        </w:rPr>
        <w:t>东区街道财政每年安排专项资金用于扶持相关产业发展。</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p>
    <w:p>
      <w:pPr>
        <w:adjustRightInd w:val="0"/>
        <w:snapToGrid w:val="0"/>
        <w:spacing w:line="336" w:lineRule="auto"/>
        <w:contextualSpacing/>
        <w:jc w:val="center"/>
        <w:rPr>
          <w:rFonts w:eastAsia="黑体"/>
          <w:color w:val="000000" w:themeColor="text1"/>
          <w:spacing w:val="6"/>
          <w:kern w:val="0"/>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 xml:space="preserve">第二章  </w:t>
      </w:r>
      <w:r>
        <w:rPr>
          <w:rFonts w:hint="eastAsia" w:eastAsia="黑体"/>
          <w:color w:val="000000" w:themeColor="text1"/>
          <w:spacing w:val="6"/>
          <w:kern w:val="0"/>
          <w:szCs w:val="32"/>
          <w14:textFill>
            <w14:solidFill>
              <w14:schemeClr w14:val="tx1"/>
            </w14:solidFill>
          </w14:textFill>
        </w:rPr>
        <w:t>奖励对象、范围和标准</w:t>
      </w:r>
    </w:p>
    <w:p>
      <w:pPr>
        <w:adjustRightInd w:val="0"/>
        <w:snapToGrid w:val="0"/>
        <w:spacing w:line="336" w:lineRule="auto"/>
        <w:ind w:firstLine="664" w:firstLineChars="200"/>
        <w:contextualSpacing/>
        <w:rPr>
          <w:rFonts w:eastAsia="楷体_GB2312"/>
          <w:color w:val="000000" w:themeColor="text1"/>
          <w:spacing w:val="6"/>
          <w:kern w:val="0"/>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第四条</w:t>
      </w:r>
      <w:r>
        <w:rPr>
          <w:rFonts w:eastAsia="楷体_GB2312"/>
          <w:color w:val="000000" w:themeColor="text1"/>
          <w:spacing w:val="6"/>
          <w:kern w:val="0"/>
          <w:szCs w:val="32"/>
          <w14:textFill>
            <w14:solidFill>
              <w14:schemeClr w14:val="tx1"/>
            </w14:solidFill>
          </w14:textFill>
        </w:rPr>
        <w:t xml:space="preserve"> </w:t>
      </w:r>
      <w:r>
        <w:rPr>
          <w:rFonts w:eastAsia="黑体"/>
          <w:color w:val="000000" w:themeColor="text1"/>
          <w:spacing w:val="6"/>
          <w:sz w:val="32"/>
          <w:szCs w:val="32"/>
          <w14:textFill>
            <w14:solidFill>
              <w14:schemeClr w14:val="tx1"/>
            </w14:solidFill>
          </w14:textFill>
        </w:rPr>
        <w:t>鼓励总部经济发展</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对符合东区街道总部企业认定条件的企业，给予落户奖、贡献奖和人才奖，并配套入学服务。认定办法详见《东区街道总部企业认定办法》（附件1）。</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sz w:val="32"/>
          <w:szCs w:val="32"/>
          <w14:textFill>
            <w14:solidFill>
              <w14:schemeClr w14:val="tx1"/>
            </w14:solidFill>
          </w14:textFill>
        </w:rPr>
        <w:t>落户奖和贡献奖的奖励资金中，至少50%的奖励资金直接用于奖励企业高级管理人员。市级直辖纳税企业（包括金融业）不享受落户奖和贡献奖。市级直辖纳税企业名单，按财税部门文件为准。</w:t>
      </w:r>
    </w:p>
    <w:p>
      <w:pPr>
        <w:adjustRightInd w:val="0"/>
        <w:spacing w:line="336" w:lineRule="auto"/>
        <w:ind w:firstLine="664" w:firstLineChars="200"/>
        <w:rPr>
          <w:color w:val="000000" w:themeColor="text1"/>
          <w:spacing w:val="6"/>
          <w:kern w:val="0"/>
          <w:sz w:val="32"/>
          <w:szCs w:val="32"/>
          <w14:textFill>
            <w14:solidFill>
              <w14:schemeClr w14:val="tx1"/>
            </w14:solidFill>
          </w14:textFill>
        </w:rPr>
      </w:pPr>
      <w:r>
        <w:rPr>
          <w:rFonts w:hint="eastAsia"/>
          <w:color w:val="000000" w:themeColor="text1"/>
          <w:spacing w:val="6"/>
          <w:kern w:val="0"/>
          <w:sz w:val="32"/>
          <w:szCs w:val="32"/>
          <w14:textFill>
            <w14:solidFill>
              <w14:schemeClr w14:val="tx1"/>
            </w14:solidFill>
          </w14:textFill>
        </w:rPr>
        <w:t>（一）落户奖</w:t>
      </w:r>
      <w:r>
        <w:rPr>
          <w:rFonts w:hint="eastAsia"/>
          <w:color w:val="000000" w:themeColor="text1"/>
          <w:spacing w:val="6"/>
          <w:kern w:val="0"/>
          <w:sz w:val="32"/>
          <w:szCs w:val="32"/>
          <w14:textFill>
            <w14:solidFill>
              <w14:schemeClr w14:val="tx1"/>
            </w14:solidFill>
          </w14:textFill>
        </w:rPr>
        <w:t>。</w:t>
      </w:r>
      <w:r>
        <w:rPr>
          <w:rFonts w:eastAsia="楷体_GB2312"/>
          <w:color w:val="000000" w:themeColor="text1"/>
          <w:spacing w:val="6"/>
          <w:sz w:val="32"/>
          <w:szCs w:val="32"/>
          <w14:textFill>
            <w14:solidFill>
              <w14:schemeClr w14:val="tx1"/>
            </w14:solidFill>
          </w14:textFill>
        </w:rPr>
        <w:t xml:space="preserve">   </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rFonts w:hint="eastAsia"/>
          <w:color w:val="000000" w:themeColor="text1"/>
          <w:spacing w:val="6"/>
          <w:kern w:val="0"/>
          <w:sz w:val="32"/>
          <w:szCs w:val="32"/>
          <w14:textFill>
            <w14:solidFill>
              <w14:schemeClr w14:val="tx1"/>
            </w14:solidFill>
          </w14:textFill>
        </w:rPr>
        <w:t>1、符合市直接认定条件并首次被认定为市总部企业的，认定当年一次性奖励</w:t>
      </w:r>
      <w:r>
        <w:rPr>
          <w:color w:val="000000" w:themeColor="text1"/>
          <w:spacing w:val="6"/>
          <w:kern w:val="0"/>
          <w:sz w:val="32"/>
          <w:szCs w:val="32"/>
          <w14:textFill>
            <w14:solidFill>
              <w14:schemeClr w14:val="tx1"/>
            </w14:solidFill>
          </w14:textFill>
        </w:rPr>
        <w:t>50</w:t>
      </w:r>
      <w:r>
        <w:rPr>
          <w:rFonts w:hint="eastAsia"/>
          <w:color w:val="000000" w:themeColor="text1"/>
          <w:spacing w:val="6"/>
          <w:kern w:val="0"/>
          <w:sz w:val="32"/>
          <w:szCs w:val="32"/>
          <w14:textFill>
            <w14:solidFill>
              <w14:schemeClr w14:val="tx1"/>
            </w14:solidFill>
          </w14:textFill>
        </w:rPr>
        <w:t>万元。</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2</w:t>
      </w:r>
      <w:r>
        <w:rPr>
          <w:snapToGrid w:val="0"/>
          <w:color w:val="000000" w:themeColor="text1"/>
          <w:spacing w:val="6"/>
          <w:kern w:val="0"/>
          <w:sz w:val="32"/>
          <w:szCs w:val="32"/>
          <w14:textFill>
            <w14:solidFill>
              <w14:schemeClr w14:val="tx1"/>
            </w14:solidFill>
          </w14:textFill>
        </w:rPr>
        <w:t>、</w:t>
      </w:r>
      <w:r>
        <w:rPr>
          <w:color w:val="000000" w:themeColor="text1"/>
          <w:spacing w:val="6"/>
          <w:kern w:val="0"/>
          <w:sz w:val="32"/>
          <w:szCs w:val="32"/>
          <w14:textFill>
            <w14:solidFill>
              <w14:schemeClr w14:val="tx1"/>
            </w14:solidFill>
          </w14:textFill>
        </w:rPr>
        <w:t>符合经营情况认定条件并首次被认定为总部企业（金融业除外）</w:t>
      </w:r>
      <w:r>
        <w:rPr>
          <w:color w:val="000000" w:themeColor="text1"/>
          <w:spacing w:val="6"/>
          <w:sz w:val="32"/>
          <w:szCs w:val="32"/>
          <w14:textFill>
            <w14:solidFill>
              <w14:schemeClr w14:val="tx1"/>
            </w14:solidFill>
          </w14:textFill>
        </w:rPr>
        <w:t>，按照当年度形成地方贡献的50%给予奖励（房地产业最高5%），最高奖励1000万元。</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snapToGrid w:val="0"/>
          <w:color w:val="000000" w:themeColor="text1"/>
          <w:spacing w:val="6"/>
          <w:kern w:val="0"/>
          <w:sz w:val="32"/>
          <w:szCs w:val="32"/>
          <w14:textFill>
            <w14:solidFill>
              <w14:schemeClr w14:val="tx1"/>
            </w14:solidFill>
          </w14:textFill>
        </w:rPr>
        <w:t>3、</w:t>
      </w:r>
      <w:r>
        <w:rPr>
          <w:color w:val="000000" w:themeColor="text1"/>
          <w:spacing w:val="6"/>
          <w:kern w:val="0"/>
          <w:sz w:val="32"/>
          <w:szCs w:val="32"/>
          <w14:textFill>
            <w14:solidFill>
              <w14:schemeClr w14:val="tx1"/>
            </w14:solidFill>
          </w14:textFill>
        </w:rPr>
        <w:t>符合一事一议认定条件并首次被认定为总部企业的，有招商引资合同的按招商引资合同约定给予奖励，最高按照认定后三年内任一年度形成地方贡献的50%给予奖励，每家企业最高不超过1000万元；无合同约定的，认定后三年内根据企业任一年度形成地方贡献的50%给予奖励，每家企业最高不超过1000万元。</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（二）贡献奖</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1、当年度形成财政贡献5亿元以下，按总部企业形成地方贡献的增长幅度给予奖励。增长20%以下的，按增量的50%给予奖励；增长20%（含）以上至40%以下的，按增量的60%给予奖励；增长40%（含）以上至60%以下的，按增量的70%给予奖励；增长60%（含）以上的，按增量的80%给予奖励。</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2、当年度形成财政贡献5亿元（含）以上的，按总部企业形成地方贡献的增长量的80%给予奖励。</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（三）人才奖</w:t>
      </w:r>
      <w:r>
        <w:rPr>
          <w:color w:val="000000" w:themeColor="text1"/>
          <w:spacing w:val="6"/>
          <w:kern w:val="0"/>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经认定的总部企业，每家企业给予1个人才奖励名额；同时，根据企业当年度形成的财政贡献，每500万元增加1个名额（</w:t>
      </w:r>
      <w:r>
        <w:rPr>
          <w:rFonts w:hint="eastAsia"/>
          <w:color w:val="000000" w:themeColor="text1"/>
          <w:spacing w:val="6"/>
          <w:kern w:val="0"/>
          <w:sz w:val="32"/>
          <w:szCs w:val="32"/>
          <w14:textFill>
            <w14:solidFill>
              <w14:schemeClr w14:val="tx1"/>
            </w14:solidFill>
          </w14:textFill>
        </w:rPr>
        <w:t>房地产业</w:t>
      </w:r>
      <w:r>
        <w:rPr>
          <w:color w:val="000000" w:themeColor="text1"/>
          <w:spacing w:val="6"/>
          <w:kern w:val="0"/>
          <w:sz w:val="32"/>
          <w:szCs w:val="32"/>
          <w14:textFill>
            <w14:solidFill>
              <w14:schemeClr w14:val="tx1"/>
            </w14:solidFill>
          </w14:textFill>
        </w:rPr>
        <w:t>每2亿元增加1个名额）。对享受奖励的人才，按个人工资薪金对地方贡献的50%给予奖励。</w:t>
      </w:r>
      <w:bookmarkStart w:id="0" w:name="_Hlk31790871"/>
      <w:r>
        <w:rPr>
          <w:color w:val="000000" w:themeColor="text1"/>
          <w:spacing w:val="6"/>
          <w:kern w:val="0"/>
          <w:sz w:val="32"/>
          <w:szCs w:val="32"/>
          <w14:textFill>
            <w14:solidFill>
              <w14:schemeClr w14:val="tx1"/>
            </w14:solidFill>
          </w14:textFill>
        </w:rPr>
        <w:t>享受人才奖励的总部企业人选，由总部企业按照公平公正公开原则确定，名单报东区街道总部办备案。</w:t>
      </w:r>
    </w:p>
    <w:bookmarkEnd w:id="0"/>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（四）入学服务</w:t>
      </w:r>
      <w:r>
        <w:rPr>
          <w:color w:val="000000" w:themeColor="text1"/>
          <w:spacing w:val="6"/>
          <w:kern w:val="0"/>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rFonts w:hint="eastAsia"/>
          <w:color w:val="000000" w:themeColor="text1"/>
          <w:spacing w:val="6"/>
          <w:kern w:val="0"/>
          <w:sz w:val="32"/>
          <w:szCs w:val="32"/>
          <w14:textFill>
            <w14:solidFill>
              <w14:schemeClr w14:val="tx1"/>
            </w14:solidFill>
          </w14:textFill>
        </w:rPr>
        <w:t>经认定的总部企业，</w:t>
      </w:r>
      <w:r>
        <w:rPr>
          <w:rFonts w:hint="eastAsia"/>
          <w:color w:val="000000" w:themeColor="text1"/>
          <w:spacing w:val="6"/>
          <w:kern w:val="0"/>
          <w:sz w:val="32"/>
          <w:szCs w:val="32"/>
          <w14:textFill>
            <w14:solidFill>
              <w14:schemeClr w14:val="tx1"/>
            </w14:solidFill>
          </w14:textFill>
        </w:rPr>
        <w:t>由东区街道教育部门</w:t>
      </w:r>
      <w:r>
        <w:rPr>
          <w:rFonts w:hint="eastAsia"/>
          <w:color w:val="000000" w:themeColor="text1"/>
          <w:spacing w:val="6"/>
          <w:kern w:val="0"/>
          <w:sz w:val="32"/>
          <w:szCs w:val="32"/>
          <w14:textFill>
            <w14:solidFill>
              <w14:schemeClr w14:val="tx1"/>
            </w14:solidFill>
          </w14:textFill>
        </w:rPr>
        <w:t>根据年度入学配额统筹安排</w:t>
      </w:r>
      <w:r>
        <w:rPr>
          <w:rFonts w:hint="eastAsia"/>
          <w:color w:val="000000" w:themeColor="text1"/>
          <w:spacing w:val="6"/>
          <w:kern w:val="0"/>
          <w:sz w:val="32"/>
          <w:szCs w:val="32"/>
          <w14:textFill>
            <w14:solidFill>
              <w14:schemeClr w14:val="tx1"/>
            </w14:solidFill>
          </w14:textFill>
        </w:rPr>
        <w:t>，同时，依据企业的财政贡献规模分配</w:t>
      </w:r>
      <w:r>
        <w:rPr>
          <w:rFonts w:hint="eastAsia"/>
          <w:color w:val="000000" w:themeColor="text1"/>
          <w:spacing w:val="6"/>
          <w:kern w:val="0"/>
          <w:sz w:val="32"/>
          <w:szCs w:val="32"/>
          <w14:textFill>
            <w14:solidFill>
              <w14:schemeClr w14:val="tx1"/>
            </w14:solidFill>
          </w14:textFill>
        </w:rPr>
        <w:t>入学名额。</w:t>
      </w:r>
    </w:p>
    <w:p>
      <w:pPr>
        <w:adjustRightInd w:val="0"/>
        <w:snapToGrid w:val="0"/>
        <w:spacing w:line="336" w:lineRule="auto"/>
        <w:ind w:firstLine="664" w:firstLineChars="200"/>
        <w:contextualSpacing/>
        <w:rPr>
          <w:rFonts w:eastAsia="黑体"/>
          <w:color w:val="000000" w:themeColor="text1"/>
          <w:spacing w:val="6"/>
          <w:kern w:val="0"/>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第五条</w:t>
      </w:r>
      <w:r>
        <w:rPr>
          <w:rFonts w:eastAsia="楷体_GB2312"/>
          <w:color w:val="000000" w:themeColor="text1"/>
          <w:spacing w:val="6"/>
          <w:kern w:val="0"/>
          <w:szCs w:val="32"/>
          <w14:textFill>
            <w14:solidFill>
              <w14:schemeClr w14:val="tx1"/>
            </w14:solidFill>
          </w14:textFill>
        </w:rPr>
        <w:t xml:space="preserve"> </w:t>
      </w:r>
      <w:r>
        <w:rPr>
          <w:rFonts w:eastAsia="黑体"/>
          <w:color w:val="000000" w:themeColor="text1"/>
          <w:spacing w:val="6"/>
          <w:sz w:val="32"/>
          <w:szCs w:val="32"/>
          <w14:textFill>
            <w14:solidFill>
              <w14:schemeClr w14:val="tx1"/>
            </w14:solidFill>
          </w14:textFill>
        </w:rPr>
        <w:t>鼓励</w:t>
      </w:r>
      <w:r>
        <w:rPr>
          <w:rFonts w:hint="eastAsia" w:eastAsia="黑体"/>
          <w:color w:val="000000" w:themeColor="text1"/>
          <w:spacing w:val="6"/>
          <w:sz w:val="32"/>
          <w:szCs w:val="32"/>
          <w14:textFill>
            <w14:solidFill>
              <w14:schemeClr w14:val="tx1"/>
            </w14:solidFill>
          </w14:textFill>
        </w:rPr>
        <w:t>服务业</w:t>
      </w:r>
      <w:r>
        <w:rPr>
          <w:rFonts w:hint="eastAsia" w:eastAsia="黑体"/>
          <w:color w:val="000000" w:themeColor="text1"/>
          <w:spacing w:val="6"/>
          <w:sz w:val="32"/>
          <w:szCs w:val="32"/>
          <w14:textFill>
            <w14:solidFill>
              <w14:schemeClr w14:val="tx1"/>
            </w14:solidFill>
          </w14:textFill>
        </w:rPr>
        <w:t>小微</w:t>
      </w:r>
      <w:r>
        <w:rPr>
          <w:rFonts w:hint="eastAsia" w:eastAsia="黑体"/>
          <w:color w:val="000000" w:themeColor="text1"/>
          <w:spacing w:val="6"/>
          <w:sz w:val="32"/>
          <w:szCs w:val="32"/>
          <w14:textFill>
            <w14:solidFill>
              <w14:schemeClr w14:val="tx1"/>
            </w14:solidFill>
          </w14:textFill>
        </w:rPr>
        <w:t>企业</w:t>
      </w:r>
      <w:r>
        <w:rPr>
          <w:rFonts w:eastAsia="黑体"/>
          <w:color w:val="000000" w:themeColor="text1"/>
          <w:spacing w:val="6"/>
          <w:sz w:val="32"/>
          <w:szCs w:val="32"/>
          <w14:textFill>
            <w14:solidFill>
              <w14:schemeClr w14:val="tx1"/>
            </w14:solidFill>
          </w14:textFill>
        </w:rPr>
        <w:t>做大做强</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对符合条件的</w:t>
      </w:r>
      <w:r>
        <w:rPr>
          <w:color w:val="000000" w:themeColor="text1"/>
          <w:spacing w:val="6"/>
          <w:sz w:val="32"/>
          <w:szCs w:val="32"/>
          <w14:textFill>
            <w14:solidFill>
              <w14:schemeClr w14:val="tx1"/>
            </w14:solidFill>
          </w14:textFill>
        </w:rPr>
        <w:t>服务业</w:t>
      </w:r>
      <w:r>
        <w:rPr>
          <w:color w:val="000000" w:themeColor="text1"/>
          <w:spacing w:val="6"/>
          <w:sz w:val="32"/>
          <w:szCs w:val="32"/>
          <w14:textFill>
            <w14:solidFill>
              <w14:schemeClr w14:val="tx1"/>
            </w14:solidFill>
          </w14:textFill>
        </w:rPr>
        <w:t>企业，给予入库奖、</w:t>
      </w:r>
      <w:r>
        <w:rPr>
          <w:color w:val="000000" w:themeColor="text1"/>
          <w:spacing w:val="6"/>
          <w:sz w:val="32"/>
          <w:szCs w:val="32"/>
          <w14:textFill>
            <w14:solidFill>
              <w14:schemeClr w14:val="tx1"/>
            </w14:solidFill>
          </w14:textFill>
        </w:rPr>
        <w:t>提升</w:t>
      </w:r>
      <w:r>
        <w:rPr>
          <w:color w:val="000000" w:themeColor="text1"/>
          <w:spacing w:val="6"/>
          <w:sz w:val="32"/>
          <w:szCs w:val="32"/>
          <w14:textFill>
            <w14:solidFill>
              <w14:schemeClr w14:val="tx1"/>
            </w14:solidFill>
          </w14:textFill>
        </w:rPr>
        <w:t>奖、</w:t>
      </w:r>
      <w:r>
        <w:rPr>
          <w:color w:val="000000" w:themeColor="text1"/>
          <w:spacing w:val="6"/>
          <w:sz w:val="32"/>
          <w:szCs w:val="32"/>
          <w14:textFill>
            <w14:solidFill>
              <w14:schemeClr w14:val="tx1"/>
            </w14:solidFill>
          </w14:textFill>
        </w:rPr>
        <w:t>培育</w:t>
      </w:r>
      <w:r>
        <w:rPr>
          <w:color w:val="000000" w:themeColor="text1"/>
          <w:spacing w:val="6"/>
          <w:sz w:val="32"/>
          <w:szCs w:val="32"/>
          <w14:textFill>
            <w14:solidFill>
              <w14:schemeClr w14:val="tx1"/>
            </w14:solidFill>
          </w14:textFill>
        </w:rPr>
        <w:t>奖和统计员补助。</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（一）入库奖</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snapToGrid w:val="0"/>
          <w:color w:val="000000" w:themeColor="text1"/>
          <w:spacing w:val="6"/>
          <w:kern w:val="32"/>
          <w:sz w:val="32"/>
          <w:szCs w:val="32"/>
          <w14:textFill>
            <w14:solidFill>
              <w14:schemeClr w14:val="tx1"/>
            </w14:solidFill>
          </w14:textFill>
        </w:rPr>
      </w:pPr>
      <w:r>
        <w:rPr>
          <w:color w:val="000000" w:themeColor="text1"/>
          <w:spacing w:val="6"/>
          <w:sz w:val="32"/>
          <w:szCs w:val="32"/>
          <w14:textFill>
            <w14:solidFill>
              <w14:schemeClr w14:val="tx1"/>
            </w14:solidFill>
          </w14:textFill>
        </w:rPr>
        <w:t>对首次在我街道申报并新增纳入</w:t>
      </w:r>
      <w:r>
        <w:rPr>
          <w:color w:val="000000" w:themeColor="text1"/>
          <w:spacing w:val="6"/>
          <w:sz w:val="32"/>
          <w:szCs w:val="32"/>
          <w14:textFill>
            <w14:solidFill>
              <w14:schemeClr w14:val="tx1"/>
            </w14:solidFill>
          </w14:textFill>
        </w:rPr>
        <w:t>“市规上限上服务业企业名录库”</w:t>
      </w:r>
      <w:r>
        <w:rPr>
          <w:color w:val="000000" w:themeColor="text1"/>
          <w:spacing w:val="6"/>
          <w:sz w:val="32"/>
          <w:szCs w:val="32"/>
          <w14:textFill>
            <w14:solidFill>
              <w14:schemeClr w14:val="tx1"/>
            </w14:solidFill>
          </w14:textFill>
        </w:rPr>
        <w:t>，给予一次性奖励6万元。其中，企业新入库时的全年主营业务收入高于入库标准50%（含），给予一次性奖励10万元；高于入库标准80%（含），给予一次性奖励20万元。</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snapToGrid w:val="0"/>
          <w:color w:val="000000" w:themeColor="text1"/>
          <w:spacing w:val="6"/>
          <w:kern w:val="32"/>
          <w:sz w:val="32"/>
          <w:szCs w:val="32"/>
          <w14:textFill>
            <w14:solidFill>
              <w14:schemeClr w14:val="tx1"/>
            </w14:solidFill>
          </w14:textFill>
        </w:rPr>
        <w:t>企业退库后再入库的，不再给予奖励。</w:t>
      </w:r>
      <w:r>
        <w:rPr>
          <w:color w:val="000000" w:themeColor="text1"/>
          <w:spacing w:val="6"/>
          <w:kern w:val="0"/>
          <w:sz w:val="32"/>
          <w:szCs w:val="32"/>
          <w14:textFill>
            <w14:solidFill>
              <w14:schemeClr w14:val="tx1"/>
            </w14:solidFill>
          </w14:textFill>
        </w:rPr>
        <w:t>入库标准详见</w:t>
      </w:r>
      <w:r>
        <w:rPr>
          <w:color w:val="000000" w:themeColor="text1"/>
          <w:spacing w:val="6"/>
          <w:sz w:val="32"/>
          <w:szCs w:val="32"/>
          <w14:textFill>
            <w14:solidFill>
              <w14:schemeClr w14:val="tx1"/>
            </w14:solidFill>
          </w14:textFill>
        </w:rPr>
        <w:t>《中山市关于进一步帮扶小微服务业企业做大做强的实施意见》</w:t>
      </w:r>
      <w:r>
        <w:rPr>
          <w:color w:val="000000" w:themeColor="text1"/>
          <w:spacing w:val="6"/>
          <w:kern w:val="0"/>
          <w:sz w:val="32"/>
          <w:szCs w:val="32"/>
          <w14:textFill>
            <w14:solidFill>
              <w14:schemeClr w14:val="tx1"/>
            </w14:solidFill>
          </w14:textFill>
        </w:rPr>
        <w:t>（附件</w:t>
      </w:r>
      <w:r>
        <w:rPr>
          <w:color w:val="000000" w:themeColor="text1"/>
          <w:spacing w:val="6"/>
          <w:kern w:val="0"/>
          <w:sz w:val="32"/>
          <w:szCs w:val="32"/>
          <w14:textFill>
            <w14:solidFill>
              <w14:schemeClr w14:val="tx1"/>
            </w14:solidFill>
          </w14:textFill>
        </w:rPr>
        <w:t>2</w:t>
      </w:r>
      <w:r>
        <w:rPr>
          <w:color w:val="000000" w:themeColor="text1"/>
          <w:spacing w:val="6"/>
          <w:kern w:val="0"/>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w:t>
      </w:r>
      <w:r>
        <w:rPr>
          <w:color w:val="000000" w:themeColor="text1"/>
          <w:spacing w:val="6"/>
          <w:sz w:val="32"/>
          <w:szCs w:val="32"/>
          <w14:textFill>
            <w14:solidFill>
              <w14:schemeClr w14:val="tx1"/>
            </w14:solidFill>
          </w14:textFill>
        </w:rPr>
        <w:t>二</w:t>
      </w:r>
      <w:r>
        <w:rPr>
          <w:color w:val="000000" w:themeColor="text1"/>
          <w:spacing w:val="6"/>
          <w:sz w:val="32"/>
          <w:szCs w:val="32"/>
          <w14:textFill>
            <w14:solidFill>
              <w14:schemeClr w14:val="tx1"/>
            </w14:solidFill>
          </w14:textFill>
        </w:rPr>
        <w:t>）</w:t>
      </w:r>
      <w:r>
        <w:rPr>
          <w:color w:val="000000" w:themeColor="text1"/>
          <w:spacing w:val="6"/>
          <w:sz w:val="32"/>
          <w:szCs w:val="32"/>
          <w14:textFill>
            <w14:solidFill>
              <w14:schemeClr w14:val="tx1"/>
            </w14:solidFill>
          </w14:textFill>
        </w:rPr>
        <w:t>提升</w:t>
      </w:r>
      <w:r>
        <w:rPr>
          <w:color w:val="000000" w:themeColor="text1"/>
          <w:spacing w:val="6"/>
          <w:sz w:val="32"/>
          <w:szCs w:val="32"/>
          <w14:textFill>
            <w14:solidFill>
              <w14:schemeClr w14:val="tx1"/>
            </w14:solidFill>
          </w14:textFill>
        </w:rPr>
        <w:t>奖</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spacing w:val="6"/>
          <w:sz w:val="32"/>
          <w:szCs w:val="32"/>
        </w:rPr>
      </w:pPr>
      <w:r>
        <w:rPr>
          <w:color w:val="000000" w:themeColor="text1"/>
          <w:spacing w:val="6"/>
          <w:sz w:val="32"/>
          <w:szCs w:val="32"/>
          <w14:textFill>
            <w14:solidFill>
              <w14:schemeClr w14:val="tx1"/>
            </w14:solidFill>
          </w14:textFill>
        </w:rPr>
        <w:t>对在</w:t>
      </w:r>
      <w:r>
        <w:rPr>
          <w:color w:val="000000" w:themeColor="text1"/>
          <w:spacing w:val="6"/>
          <w:sz w:val="32"/>
          <w:szCs w:val="32"/>
          <w14:textFill>
            <w14:solidFill>
              <w14:schemeClr w14:val="tx1"/>
            </w14:solidFill>
          </w14:textFill>
        </w:rPr>
        <w:t>“市规上限上服务业企业名录库”</w:t>
      </w:r>
      <w:r>
        <w:rPr>
          <w:color w:val="000000" w:themeColor="text1"/>
          <w:spacing w:val="6"/>
          <w:sz w:val="32"/>
          <w:szCs w:val="32"/>
          <w14:textFill>
            <w14:solidFill>
              <w14:schemeClr w14:val="tx1"/>
            </w14:solidFill>
          </w14:textFill>
        </w:rPr>
        <w:t>且利润总额为正的企业，属于规上服务业当年主营业务收入2000万元以上，属于批发业当年主营业务收入1亿元以上，属于零售业当年主营业务收入5000万元以上，属于住宿和餐饮业当年主营业务收入1000万元以上</w:t>
      </w:r>
      <w:r>
        <w:rPr>
          <w:rFonts w:hint="eastAsia"/>
          <w:color w:val="000000" w:themeColor="text1"/>
          <w:spacing w:val="6"/>
          <w:sz w:val="32"/>
          <w:szCs w:val="32"/>
          <w14:textFill>
            <w14:solidFill>
              <w14:schemeClr w14:val="tx1"/>
            </w14:solidFill>
          </w14:textFill>
        </w:rPr>
        <w:t>，主营业务收入同比增长</w:t>
      </w:r>
      <w:r>
        <w:rPr>
          <w:color w:val="000000" w:themeColor="text1"/>
          <w:spacing w:val="6"/>
          <w:sz w:val="32"/>
          <w:szCs w:val="32"/>
          <w14:textFill>
            <w14:solidFill>
              <w14:schemeClr w14:val="tx1"/>
            </w14:solidFill>
          </w14:textFill>
        </w:rPr>
        <w:t>15</w:t>
      </w:r>
      <w:r>
        <w:rPr>
          <w:color w:val="000000" w:themeColor="text1"/>
          <w:spacing w:val="6"/>
          <w:sz w:val="32"/>
          <w:szCs w:val="32"/>
          <w14:textFill>
            <w14:solidFill>
              <w14:schemeClr w14:val="tx1"/>
            </w14:solidFill>
          </w14:textFill>
        </w:rPr>
        <w:t>%</w:t>
      </w:r>
      <w:r>
        <w:rPr>
          <w:rFonts w:hint="eastAsia"/>
          <w:color w:val="000000" w:themeColor="text1"/>
          <w:spacing w:val="6"/>
          <w:sz w:val="32"/>
          <w:szCs w:val="32"/>
          <w14:textFill>
            <w14:solidFill>
              <w14:schemeClr w14:val="tx1"/>
            </w14:solidFill>
          </w14:textFill>
        </w:rPr>
        <w:t>的，给予一次性奖励</w:t>
      </w:r>
      <w:r>
        <w:rPr>
          <w:color w:val="000000" w:themeColor="text1"/>
          <w:spacing w:val="6"/>
          <w:sz w:val="32"/>
          <w:szCs w:val="32"/>
          <w14:textFill>
            <w14:solidFill>
              <w14:schemeClr w14:val="tx1"/>
            </w14:solidFill>
          </w14:textFill>
        </w:rPr>
        <w:t>3</w:t>
      </w:r>
      <w:r>
        <w:rPr>
          <w:rFonts w:hint="eastAsia"/>
          <w:color w:val="000000" w:themeColor="text1"/>
          <w:spacing w:val="6"/>
          <w:sz w:val="32"/>
          <w:szCs w:val="32"/>
          <w14:textFill>
            <w14:solidFill>
              <w14:schemeClr w14:val="tx1"/>
            </w14:solidFill>
          </w14:textFill>
        </w:rPr>
        <w:t>万元；主营业务收入同比增长</w:t>
      </w:r>
      <w:r>
        <w:rPr>
          <w:color w:val="000000" w:themeColor="text1"/>
          <w:spacing w:val="6"/>
          <w:sz w:val="32"/>
          <w:szCs w:val="32"/>
          <w14:textFill>
            <w14:solidFill>
              <w14:schemeClr w14:val="tx1"/>
            </w14:solidFill>
          </w14:textFill>
        </w:rPr>
        <w:t>25</w:t>
      </w:r>
      <w:r>
        <w:rPr>
          <w:color w:val="000000" w:themeColor="text1"/>
          <w:spacing w:val="6"/>
          <w:sz w:val="32"/>
          <w:szCs w:val="32"/>
          <w14:textFill>
            <w14:solidFill>
              <w14:schemeClr w14:val="tx1"/>
            </w14:solidFill>
          </w14:textFill>
        </w:rPr>
        <w:t>%</w:t>
      </w:r>
      <w:r>
        <w:rPr>
          <w:rFonts w:hint="eastAsia"/>
          <w:color w:val="000000" w:themeColor="text1"/>
          <w:spacing w:val="6"/>
          <w:sz w:val="32"/>
          <w:szCs w:val="32"/>
          <w14:textFill>
            <w14:solidFill>
              <w14:schemeClr w14:val="tx1"/>
            </w14:solidFill>
          </w14:textFill>
        </w:rPr>
        <w:t>的，给予一次性奖励</w:t>
      </w:r>
      <w:r>
        <w:rPr>
          <w:color w:val="000000" w:themeColor="text1"/>
          <w:spacing w:val="6"/>
          <w:sz w:val="32"/>
          <w:szCs w:val="32"/>
          <w14:textFill>
            <w14:solidFill>
              <w14:schemeClr w14:val="tx1"/>
            </w14:solidFill>
          </w14:textFill>
        </w:rPr>
        <w:t>5</w:t>
      </w:r>
      <w:r>
        <w:rPr>
          <w:rFonts w:hint="eastAsia"/>
          <w:color w:val="000000" w:themeColor="text1"/>
          <w:spacing w:val="6"/>
          <w:sz w:val="32"/>
          <w:szCs w:val="32"/>
          <w14:textFill>
            <w14:solidFill>
              <w14:schemeClr w14:val="tx1"/>
            </w14:solidFill>
          </w14:textFill>
        </w:rPr>
        <w:t>万元。</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（三）培育奖。</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建立“东区街道上规上限企业培育库”，培育库企业3年内成功申报并新增纳入“限额以上批发和零售业、住宿和餐饮业企业名录库”、“规模以上服务业企业名录库”（以下简称“市规上限上服务业企业名录库”），给予1万元的培育补助。</w:t>
      </w:r>
      <w:r>
        <w:rPr>
          <w:color w:val="000000" w:themeColor="text1"/>
          <w:spacing w:val="6"/>
          <w:kern w:val="0"/>
          <w:sz w:val="32"/>
          <w:szCs w:val="32"/>
          <w14:textFill>
            <w14:solidFill>
              <w14:schemeClr w14:val="tx1"/>
            </w14:solidFill>
          </w14:textFill>
        </w:rPr>
        <w:t>培育库入库标准详见《东区街道</w:t>
      </w:r>
      <w:r>
        <w:rPr>
          <w:color w:val="000000" w:themeColor="text1"/>
          <w:spacing w:val="6"/>
          <w:sz w:val="32"/>
          <w:szCs w:val="32"/>
          <w14:textFill>
            <w14:solidFill>
              <w14:schemeClr w14:val="tx1"/>
            </w14:solidFill>
          </w14:textFill>
        </w:rPr>
        <w:t>服务业企业培育库入库标准</w:t>
      </w:r>
      <w:r>
        <w:rPr>
          <w:color w:val="000000" w:themeColor="text1"/>
          <w:spacing w:val="6"/>
          <w:kern w:val="0"/>
          <w:sz w:val="32"/>
          <w:szCs w:val="32"/>
          <w14:textFill>
            <w14:solidFill>
              <w14:schemeClr w14:val="tx1"/>
            </w14:solidFill>
          </w14:textFill>
        </w:rPr>
        <w:t>》（附件3）。</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w:t>
      </w:r>
      <w:r>
        <w:rPr>
          <w:color w:val="000000" w:themeColor="text1"/>
          <w:spacing w:val="6"/>
          <w:sz w:val="32"/>
          <w:szCs w:val="32"/>
          <w14:textFill>
            <w14:solidFill>
              <w14:schemeClr w14:val="tx1"/>
            </w14:solidFill>
          </w14:textFill>
        </w:rPr>
        <w:t>四</w:t>
      </w:r>
      <w:r>
        <w:rPr>
          <w:color w:val="000000" w:themeColor="text1"/>
          <w:spacing w:val="6"/>
          <w:sz w:val="32"/>
          <w:szCs w:val="32"/>
          <w14:textFill>
            <w14:solidFill>
              <w14:schemeClr w14:val="tx1"/>
            </w14:solidFill>
          </w14:textFill>
        </w:rPr>
        <w:t>）统计员补助</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对我街道</w:t>
      </w:r>
      <w:r>
        <w:rPr>
          <w:color w:val="000000" w:themeColor="text1"/>
          <w:spacing w:val="6"/>
          <w:sz w:val="32"/>
          <w:szCs w:val="32"/>
          <w14:textFill>
            <w14:solidFill>
              <w14:schemeClr w14:val="tx1"/>
            </w14:solidFill>
          </w14:textFill>
        </w:rPr>
        <w:t>服务业和工业的规上限上企业、资质以上建筑业、有销售或开发活动的房地业开发企业、500万以上固定资产投资项目单位</w:t>
      </w:r>
      <w:r>
        <w:rPr>
          <w:color w:val="000000" w:themeColor="text1"/>
          <w:spacing w:val="6"/>
          <w:sz w:val="32"/>
          <w:szCs w:val="32"/>
          <w14:textFill>
            <w14:solidFill>
              <w14:schemeClr w14:val="tx1"/>
            </w14:solidFill>
          </w14:textFill>
        </w:rPr>
        <w:t>的统计人员，根据企业报表报送的及时性</w:t>
      </w:r>
      <w:r>
        <w:rPr>
          <w:color w:val="000000" w:themeColor="text1"/>
          <w:spacing w:val="6"/>
          <w:sz w:val="32"/>
          <w:szCs w:val="32"/>
          <w14:textFill>
            <w14:solidFill>
              <w14:schemeClr w14:val="tx1"/>
            </w14:solidFill>
          </w14:textFill>
        </w:rPr>
        <w:t>和</w:t>
      </w:r>
      <w:r>
        <w:rPr>
          <w:color w:val="000000" w:themeColor="text1"/>
          <w:spacing w:val="6"/>
          <w:sz w:val="32"/>
          <w:szCs w:val="32"/>
          <w14:textFill>
            <w14:solidFill>
              <w14:schemeClr w14:val="tx1"/>
            </w14:solidFill>
          </w14:textFill>
        </w:rPr>
        <w:t>准确</w:t>
      </w:r>
      <w:r>
        <w:rPr>
          <w:color w:val="000000" w:themeColor="text1"/>
          <w:spacing w:val="6"/>
          <w:sz w:val="32"/>
          <w:szCs w:val="32"/>
          <w14:textFill>
            <w14:solidFill>
              <w14:schemeClr w14:val="tx1"/>
            </w14:solidFill>
          </w14:textFill>
        </w:rPr>
        <w:t>性</w:t>
      </w:r>
      <w:r>
        <w:rPr>
          <w:color w:val="000000" w:themeColor="text1"/>
          <w:spacing w:val="6"/>
          <w:sz w:val="32"/>
          <w:szCs w:val="32"/>
          <w14:textFill>
            <w14:solidFill>
              <w14:schemeClr w14:val="tx1"/>
            </w14:solidFill>
          </w14:textFill>
        </w:rPr>
        <w:t>给予最高1500元的补助。补助办法</w:t>
      </w:r>
      <w:r>
        <w:rPr>
          <w:color w:val="000000" w:themeColor="text1"/>
          <w:spacing w:val="6"/>
          <w:kern w:val="0"/>
          <w:sz w:val="32"/>
          <w:szCs w:val="32"/>
          <w14:textFill>
            <w14:solidFill>
              <w14:schemeClr w14:val="tx1"/>
            </w14:solidFill>
          </w14:textFill>
        </w:rPr>
        <w:t>详见《东区街道企业统计人员补助办法》（附件4）。</w:t>
      </w:r>
    </w:p>
    <w:p>
      <w:pPr>
        <w:adjustRightInd w:val="0"/>
        <w:snapToGrid w:val="0"/>
        <w:spacing w:line="336" w:lineRule="auto"/>
        <w:ind w:firstLine="664" w:firstLineChars="200"/>
        <w:contextualSpacing/>
        <w:rPr>
          <w:rFonts w:eastAsia="黑体"/>
          <w:color w:val="000000" w:themeColor="text1"/>
          <w:spacing w:val="6"/>
          <w:sz w:val="32"/>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 xml:space="preserve">第六条  </w:t>
      </w:r>
      <w:r>
        <w:rPr>
          <w:rFonts w:eastAsia="黑体"/>
          <w:color w:val="000000" w:themeColor="text1"/>
          <w:spacing w:val="6"/>
          <w:sz w:val="32"/>
          <w:szCs w:val="32"/>
          <w14:textFill>
            <w14:solidFill>
              <w14:schemeClr w14:val="tx1"/>
            </w14:solidFill>
          </w14:textFill>
        </w:rPr>
        <w:t>支持</w:t>
      </w:r>
      <w:r>
        <w:rPr>
          <w:rFonts w:eastAsia="黑体"/>
          <w:color w:val="000000" w:themeColor="text1"/>
          <w:spacing w:val="6"/>
          <w:sz w:val="32"/>
          <w:szCs w:val="32"/>
          <w14:textFill>
            <w14:solidFill>
              <w14:schemeClr w14:val="tx1"/>
            </w14:solidFill>
          </w14:textFill>
        </w:rPr>
        <w:t>商贸流通业高质量发展</w:t>
      </w:r>
    </w:p>
    <w:p>
      <w:pPr>
        <w:spacing w:line="336" w:lineRule="auto"/>
        <w:ind w:firstLine="640" w:firstLineChars="20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对于符合条件的商贸流通企业，</w:t>
      </w:r>
      <w:r>
        <w:rPr>
          <w:color w:val="000000" w:themeColor="text1"/>
          <w:sz w:val="32"/>
          <w:szCs w:val="32"/>
          <w14:textFill>
            <w14:solidFill>
              <w14:schemeClr w14:val="tx1"/>
            </w14:solidFill>
          </w14:textFill>
        </w:rPr>
        <w:t>给予活动补助、招商奖和培优奖。</w:t>
      </w:r>
    </w:p>
    <w:p>
      <w:pPr>
        <w:spacing w:line="336" w:lineRule="auto"/>
        <w:ind w:firstLine="640" w:firstLineChars="20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（一）活动补助</w:t>
      </w:r>
    </w:p>
    <w:p>
      <w:pPr>
        <w:spacing w:line="336" w:lineRule="auto"/>
        <w:ind w:firstLine="640" w:firstLineChars="20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对建筑面积不小于3万平方米且拥有不少于50家入驻商户的城市商业综合体，开展以夜经济、网红经济、促消费等主题的线下活动，经备案批准、冠以统一的标识和名称且活动投入不低于10万元（按照申报单位提供的相关合同及发票计算，不含商品优惠及赠送礼品），按活动投入的30%给予最高不超过</w:t>
      </w:r>
      <w:r>
        <w:rPr>
          <w:rFonts w:hint="eastAsia"/>
          <w:color w:val="000000" w:themeColor="text1"/>
          <w:sz w:val="32"/>
          <w:szCs w:val="32"/>
          <w14:textFill>
            <w14:solidFill>
              <w14:schemeClr w14:val="tx1"/>
            </w14:solidFill>
          </w14:textFill>
        </w:rPr>
        <w:t>10万元补贴。</w:t>
      </w:r>
    </w:p>
    <w:p>
      <w:pPr>
        <w:spacing w:line="336" w:lineRule="auto"/>
        <w:ind w:firstLine="640" w:firstLineChars="20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（二）招商奖</w:t>
      </w:r>
    </w:p>
    <w:p>
      <w:pPr>
        <w:spacing w:line="336" w:lineRule="auto"/>
        <w:ind w:firstLine="640" w:firstLineChars="20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对建筑面积不小于3万平方米且拥有不少于50家入驻商户的城市商业综合体，每新引进</w:t>
      </w:r>
      <w:r>
        <w:rPr>
          <w:color w:val="000000" w:themeColor="text1"/>
          <w:sz w:val="32"/>
          <w:szCs w:val="32"/>
          <w14:textFill>
            <w14:solidFill>
              <w14:schemeClr w14:val="tx1"/>
            </w14:solidFill>
          </w14:textFill>
        </w:rPr>
        <w:t>（</w:t>
      </w:r>
      <w:r>
        <w:rPr>
          <w:color w:val="000000" w:themeColor="text1"/>
          <w:sz w:val="32"/>
          <w:szCs w:val="32"/>
          <w14:textFill>
            <w14:solidFill>
              <w14:schemeClr w14:val="tx1"/>
            </w14:solidFill>
          </w14:textFill>
        </w:rPr>
        <w:t>培育</w:t>
      </w:r>
      <w:r>
        <w:rPr>
          <w:color w:val="000000" w:themeColor="text1"/>
          <w:sz w:val="32"/>
          <w:szCs w:val="32"/>
          <w14:textFill>
            <w14:solidFill>
              <w14:schemeClr w14:val="tx1"/>
            </w14:solidFill>
          </w14:textFill>
        </w:rPr>
        <w:t>）</w:t>
      </w:r>
      <w:r>
        <w:rPr>
          <w:color w:val="000000" w:themeColor="text1"/>
          <w:sz w:val="32"/>
          <w:szCs w:val="32"/>
          <w14:textFill>
            <w14:solidFill>
              <w14:schemeClr w14:val="tx1"/>
            </w14:solidFill>
          </w14:textFill>
        </w:rPr>
        <w:t>1家</w:t>
      </w:r>
      <w:r>
        <w:rPr>
          <w:color w:val="000000" w:themeColor="text1"/>
          <w:sz w:val="32"/>
          <w:szCs w:val="32"/>
          <w14:textFill>
            <w14:solidFill>
              <w14:schemeClr w14:val="tx1"/>
            </w14:solidFill>
          </w14:textFill>
        </w:rPr>
        <w:t>在</w:t>
      </w:r>
      <w:r>
        <w:rPr>
          <w:color w:val="000000" w:themeColor="text1"/>
          <w:sz w:val="32"/>
          <w:szCs w:val="32"/>
          <w14:textFill>
            <w14:solidFill>
              <w14:schemeClr w14:val="tx1"/>
            </w14:solidFill>
          </w14:textFill>
        </w:rPr>
        <w:t>东区街道注册</w:t>
      </w:r>
      <w:r>
        <w:rPr>
          <w:color w:val="000000" w:themeColor="text1"/>
          <w:sz w:val="32"/>
          <w:szCs w:val="32"/>
          <w14:textFill>
            <w14:solidFill>
              <w14:schemeClr w14:val="tx1"/>
            </w14:solidFill>
          </w14:textFill>
        </w:rPr>
        <w:t>登记</w:t>
      </w:r>
      <w:r>
        <w:rPr>
          <w:color w:val="000000" w:themeColor="text1"/>
          <w:sz w:val="32"/>
          <w:szCs w:val="32"/>
          <w14:textFill>
            <w14:solidFill>
              <w14:schemeClr w14:val="tx1"/>
            </w14:solidFill>
          </w14:textFill>
        </w:rPr>
        <w:t>具有独立法人且</w:t>
      </w:r>
      <w:r>
        <w:rPr>
          <w:color w:val="000000" w:themeColor="text1"/>
          <w:sz w:val="32"/>
          <w:szCs w:val="32"/>
          <w14:textFill>
            <w14:solidFill>
              <w14:schemeClr w14:val="tx1"/>
            </w14:solidFill>
          </w14:textFill>
        </w:rPr>
        <w:t>纳入限上统计</w:t>
      </w:r>
      <w:r>
        <w:rPr>
          <w:color w:val="000000" w:themeColor="text1"/>
          <w:sz w:val="32"/>
          <w:szCs w:val="32"/>
          <w14:textFill>
            <w14:solidFill>
              <w14:schemeClr w14:val="tx1"/>
            </w14:solidFill>
          </w14:textFill>
        </w:rPr>
        <w:t>的餐饮和零售企业，对城市商业综合体的运营管理方给予一次性</w:t>
      </w:r>
      <w:r>
        <w:rPr>
          <w:color w:val="000000" w:themeColor="text1"/>
          <w:sz w:val="32"/>
          <w:szCs w:val="32"/>
          <w14:textFill>
            <w14:solidFill>
              <w14:schemeClr w14:val="tx1"/>
            </w14:solidFill>
          </w14:textFill>
        </w:rPr>
        <w:t>4</w:t>
      </w:r>
      <w:r>
        <w:rPr>
          <w:color w:val="000000" w:themeColor="text1"/>
          <w:sz w:val="32"/>
          <w:szCs w:val="32"/>
          <w14:textFill>
            <w14:solidFill>
              <w14:schemeClr w14:val="tx1"/>
            </w14:solidFill>
          </w14:textFill>
        </w:rPr>
        <w:t>万元奖励。</w:t>
      </w:r>
    </w:p>
    <w:p>
      <w:pPr>
        <w:spacing w:line="336" w:lineRule="auto"/>
        <w:ind w:firstLine="640" w:firstLineChars="20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（三）培优奖</w:t>
      </w:r>
    </w:p>
    <w:p>
      <w:pPr>
        <w:spacing w:line="336" w:lineRule="auto"/>
        <w:ind w:firstLine="640" w:firstLineChars="200"/>
        <w:rPr>
          <w:rFonts w:eastAsia="黑体"/>
          <w:color w:val="000000" w:themeColor="text1"/>
          <w:spacing w:val="6"/>
          <w:sz w:val="32"/>
          <w:szCs w:val="32"/>
          <w14:textFill>
            <w14:solidFill>
              <w14:schemeClr w14:val="tx1"/>
            </w14:solidFill>
          </w14:textFill>
        </w:rPr>
      </w:pPr>
      <w:r>
        <w:rPr>
          <w:color w:val="000000" w:themeColor="text1"/>
          <w:sz w:val="32"/>
          <w:szCs w:val="32"/>
          <w14:textFill>
            <w14:solidFill>
              <w14:schemeClr w14:val="tx1"/>
            </w14:solidFill>
          </w14:textFill>
        </w:rPr>
        <w:t>对纳入限上统计的申报单位，属于批发、零售业企业在申报年度零售额同比每增加2000万元，餐饮、住宿业企业在申报年度零售额同比每增加300万元，均给予2万元资金支持。每个申报单位每个年度累计获得上限50万元资金支持。</w:t>
      </w:r>
    </w:p>
    <w:p>
      <w:pPr>
        <w:adjustRightInd w:val="0"/>
        <w:snapToGrid w:val="0"/>
        <w:spacing w:line="336" w:lineRule="auto"/>
        <w:ind w:firstLine="664" w:firstLineChars="200"/>
        <w:contextualSpacing/>
        <w:rPr>
          <w:rFonts w:eastAsia="楷体_GB2312"/>
          <w:color w:val="000000" w:themeColor="text1"/>
          <w:spacing w:val="6"/>
          <w:kern w:val="0"/>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第七条</w:t>
      </w:r>
      <w:r>
        <w:rPr>
          <w:rFonts w:eastAsia="楷体_GB2312"/>
          <w:color w:val="000000" w:themeColor="text1"/>
          <w:spacing w:val="6"/>
          <w:kern w:val="0"/>
          <w:szCs w:val="32"/>
          <w14:textFill>
            <w14:solidFill>
              <w14:schemeClr w14:val="tx1"/>
            </w14:solidFill>
          </w14:textFill>
        </w:rPr>
        <w:t xml:space="preserve"> </w:t>
      </w:r>
      <w:r>
        <w:rPr>
          <w:rFonts w:eastAsia="黑体"/>
          <w:color w:val="000000" w:themeColor="text1"/>
          <w:spacing w:val="6"/>
          <w:sz w:val="32"/>
          <w:szCs w:val="32"/>
          <w14:textFill>
            <w14:solidFill>
              <w14:schemeClr w14:val="tx1"/>
            </w14:solidFill>
          </w14:textFill>
        </w:rPr>
        <w:t>鼓励新一代信息技术产业发展</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rFonts w:hint="eastAsia"/>
          <w:color w:val="000000" w:themeColor="text1"/>
          <w:spacing w:val="6"/>
          <w:kern w:val="0"/>
          <w:sz w:val="32"/>
          <w:szCs w:val="32"/>
          <w14:textFill>
            <w14:solidFill>
              <w14:schemeClr w14:val="tx1"/>
            </w14:solidFill>
          </w14:textFill>
        </w:rPr>
        <w:t>新一代信息技术产业，包括但不限于</w:t>
      </w:r>
      <w:r>
        <w:rPr>
          <w:color w:val="000000" w:themeColor="text1"/>
          <w:spacing w:val="6"/>
          <w:kern w:val="0"/>
          <w:sz w:val="32"/>
          <w:szCs w:val="32"/>
          <w14:textFill>
            <w14:solidFill>
              <w14:schemeClr w14:val="tx1"/>
            </w14:solidFill>
          </w14:textFill>
        </w:rPr>
        <w:t>5G</w:t>
      </w:r>
      <w:r>
        <w:rPr>
          <w:rFonts w:hint="eastAsia"/>
          <w:color w:val="000000" w:themeColor="text1"/>
          <w:spacing w:val="6"/>
          <w:kern w:val="0"/>
          <w:sz w:val="32"/>
          <w:szCs w:val="32"/>
          <w14:textFill>
            <w14:solidFill>
              <w14:schemeClr w14:val="tx1"/>
            </w14:solidFill>
          </w14:textFill>
        </w:rPr>
        <w:t>等新一代通信网络、新型显示、超高清视频、高端软件、人工智能、工业互联网、区块链、物联网、电子信息、大数据、云计算、新兴软件、互联网和智能硬件等领域以及基于新一代信息技术的新兴业态。</w:t>
      </w:r>
      <w:r>
        <w:rPr>
          <w:color w:val="000000" w:themeColor="text1"/>
          <w:spacing w:val="6"/>
          <w:kern w:val="0"/>
          <w:sz w:val="32"/>
          <w:szCs w:val="32"/>
          <w14:textFill>
            <w14:solidFill>
              <w14:schemeClr w14:val="tx1"/>
            </w14:solidFill>
          </w14:textFill>
        </w:rPr>
        <w:t>对于符合要求的新一代信息技术企业，给予落户</w:t>
      </w:r>
      <w:r>
        <w:rPr>
          <w:bCs/>
          <w:color w:val="000000" w:themeColor="text1"/>
          <w:spacing w:val="6"/>
          <w:sz w:val="32"/>
          <w:szCs w:val="32"/>
          <w14:textFill>
            <w14:solidFill>
              <w14:schemeClr w14:val="tx1"/>
            </w14:solidFill>
          </w14:textFill>
        </w:rPr>
        <w:t>奖、应用项目建设</w:t>
      </w:r>
      <w:r>
        <w:rPr>
          <w:color w:val="000000" w:themeColor="text1"/>
          <w:spacing w:val="6"/>
          <w:kern w:val="0"/>
          <w:sz w:val="32"/>
          <w:szCs w:val="32"/>
          <w14:textFill>
            <w14:solidFill>
              <w14:schemeClr w14:val="tx1"/>
            </w14:solidFill>
          </w14:textFill>
        </w:rPr>
        <w:t>补助以及</w:t>
      </w:r>
      <w:r>
        <w:rPr>
          <w:bCs/>
          <w:color w:val="000000" w:themeColor="text1"/>
          <w:spacing w:val="6"/>
          <w:sz w:val="32"/>
          <w:szCs w:val="32"/>
          <w14:textFill>
            <w14:solidFill>
              <w14:schemeClr w14:val="tx1"/>
            </w14:solidFill>
          </w14:textFill>
        </w:rPr>
        <w:t>其他配套补助。</w:t>
      </w:r>
    </w:p>
    <w:p>
      <w:pPr>
        <w:adjustRightInd w:val="0"/>
        <w:snapToGrid w:val="0"/>
        <w:spacing w:line="336" w:lineRule="auto"/>
        <w:ind w:firstLine="664" w:firstLineChars="200"/>
        <w:rPr>
          <w:bCs/>
          <w:color w:val="000000" w:themeColor="text1"/>
          <w:spacing w:val="6"/>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（一）落户</w:t>
      </w:r>
      <w:r>
        <w:rPr>
          <w:bCs/>
          <w:color w:val="000000" w:themeColor="text1"/>
          <w:spacing w:val="6"/>
          <w:sz w:val="32"/>
          <w:szCs w:val="32"/>
          <w14:textFill>
            <w14:solidFill>
              <w14:schemeClr w14:val="tx1"/>
            </w14:solidFill>
          </w14:textFill>
        </w:rPr>
        <w:t>奖</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对于新设立且</w:t>
      </w:r>
      <w:r>
        <w:rPr>
          <w:rFonts w:hint="eastAsia"/>
          <w:color w:val="000000" w:themeColor="text1"/>
          <w:spacing w:val="6"/>
          <w:kern w:val="0"/>
          <w:sz w:val="32"/>
          <w:szCs w:val="32"/>
          <w14:textFill>
            <w14:solidFill>
              <w14:schemeClr w14:val="tx1"/>
            </w14:solidFill>
          </w14:textFill>
        </w:rPr>
        <w:t>年营业收入达到1000万元（含）以上的</w:t>
      </w:r>
      <w:r>
        <w:rPr>
          <w:color w:val="000000" w:themeColor="text1"/>
          <w:spacing w:val="6"/>
          <w:kern w:val="0"/>
          <w:sz w:val="32"/>
          <w:szCs w:val="32"/>
          <w14:textFill>
            <w14:solidFill>
              <w14:schemeClr w14:val="tx1"/>
            </w14:solidFill>
          </w14:textFill>
        </w:rPr>
        <w:t>新一代信息技术企业，按照企业年度研究开发费用的50%进行一次性补贴，每个企业补贴金额最高不超过</w:t>
      </w:r>
      <w:r>
        <w:rPr>
          <w:rFonts w:hint="eastAsia"/>
          <w:color w:val="000000" w:themeColor="text1"/>
          <w:spacing w:val="6"/>
          <w:kern w:val="0"/>
          <w:sz w:val="32"/>
          <w:szCs w:val="32"/>
          <w14:textFill>
            <w14:solidFill>
              <w14:schemeClr w14:val="tx1"/>
            </w14:solidFill>
          </w14:textFill>
        </w:rPr>
        <w:t>50</w:t>
      </w:r>
      <w:r>
        <w:rPr>
          <w:color w:val="000000" w:themeColor="text1"/>
          <w:spacing w:val="6"/>
          <w:kern w:val="0"/>
          <w:sz w:val="32"/>
          <w:szCs w:val="32"/>
          <w14:textFill>
            <w14:solidFill>
              <w14:schemeClr w14:val="tx1"/>
            </w14:solidFill>
          </w14:textFill>
        </w:rPr>
        <w:t>万元。其中，企业成立年度和申报年度间隔不超过2年。</w:t>
      </w:r>
    </w:p>
    <w:p>
      <w:pPr>
        <w:adjustRightInd w:val="0"/>
        <w:snapToGrid w:val="0"/>
        <w:spacing w:line="336" w:lineRule="auto"/>
        <w:ind w:firstLine="590" w:firstLineChars="178"/>
        <w:rPr>
          <w:bCs/>
          <w:color w:val="000000" w:themeColor="text1"/>
          <w:spacing w:val="6"/>
          <w:sz w:val="32"/>
          <w:szCs w:val="32"/>
          <w14:textFill>
            <w14:solidFill>
              <w14:schemeClr w14:val="tx1"/>
            </w14:solidFill>
          </w14:textFill>
        </w:rPr>
      </w:pPr>
      <w:r>
        <w:rPr>
          <w:bCs/>
          <w:color w:val="000000" w:themeColor="text1"/>
          <w:spacing w:val="6"/>
          <w:sz w:val="32"/>
          <w:szCs w:val="32"/>
          <w14:textFill>
            <w14:solidFill>
              <w14:schemeClr w14:val="tx1"/>
            </w14:solidFill>
          </w14:textFill>
        </w:rPr>
        <w:t>（二）应用项目建设</w:t>
      </w:r>
      <w:r>
        <w:rPr>
          <w:color w:val="000000" w:themeColor="text1"/>
          <w:spacing w:val="6"/>
          <w:kern w:val="0"/>
          <w:sz w:val="32"/>
          <w:szCs w:val="32"/>
          <w14:textFill>
            <w14:solidFill>
              <w14:schemeClr w14:val="tx1"/>
            </w14:solidFill>
          </w14:textFill>
        </w:rPr>
        <w:t>补助</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针对企业面向家政、居家养老行业研发基于互联网、大数据、云计算等在中山市东区街道运营推广的产品、方案或应用等重点项目给予补助，对经本街道认定的重点项目，按照不高于该重点项目研发费用（经有资质的第三方审计）的50%给予最高不超过15万元补助。</w:t>
      </w:r>
    </w:p>
    <w:p>
      <w:pPr>
        <w:adjustRightInd w:val="0"/>
        <w:snapToGrid w:val="0"/>
        <w:spacing w:line="336" w:lineRule="auto"/>
        <w:ind w:firstLine="590" w:firstLineChars="178"/>
        <w:rPr>
          <w:bCs/>
          <w:color w:val="000000" w:themeColor="text1"/>
          <w:spacing w:val="6"/>
          <w:sz w:val="32"/>
          <w:szCs w:val="32"/>
          <w14:textFill>
            <w14:solidFill>
              <w14:schemeClr w14:val="tx1"/>
            </w14:solidFill>
          </w14:textFill>
        </w:rPr>
      </w:pPr>
      <w:r>
        <w:rPr>
          <w:bCs/>
          <w:color w:val="000000" w:themeColor="text1"/>
          <w:spacing w:val="6"/>
          <w:sz w:val="32"/>
          <w:szCs w:val="32"/>
          <w14:textFill>
            <w14:solidFill>
              <w14:schemeClr w14:val="tx1"/>
            </w14:solidFill>
          </w14:textFill>
        </w:rPr>
        <w:t>（三）其他配套补助</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1、获得市支持“优质项目落地补贴”，按照市补助金额的10%给予配套支持，单个项目最高不超过30万元。</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2、获得市新一代信息技术产业“应用项目建设”、“支持垂直行业5G创新应用”、“企业经营贡献奖励”，按照市补助金额的30%给予配套支持，单个项目最高不超过30万元。</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3、获得市支持“高端软件研发补贴”，按照市补助金额的30%给予配套支持，单个项目最高不超过10万元。</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4、获得中山市工业发展专项资金（公共技术服务平台专题）项目或其他相关平台支持的，按照市补助金额的50%给予配套支持，单个项目最高不超过20万元。</w:t>
      </w:r>
    </w:p>
    <w:p>
      <w:pPr>
        <w:adjustRightInd w:val="0"/>
        <w:snapToGrid w:val="0"/>
        <w:spacing w:line="336" w:lineRule="auto"/>
        <w:ind w:firstLine="664" w:firstLineChars="200"/>
        <w:rPr>
          <w:rFonts w:eastAsia="黑体"/>
          <w:color w:val="000000" w:themeColor="text1"/>
          <w:spacing w:val="6"/>
          <w:sz w:val="32"/>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第八条</w:t>
      </w:r>
      <w:r>
        <w:rPr>
          <w:color w:val="000000" w:themeColor="text1"/>
          <w:spacing w:val="6"/>
          <w:sz w:val="32"/>
          <w:szCs w:val="32"/>
          <w14:textFill>
            <w14:solidFill>
              <w14:schemeClr w14:val="tx1"/>
            </w14:solidFill>
          </w14:textFill>
        </w:rPr>
        <w:t xml:space="preserve"> </w:t>
      </w:r>
      <w:r>
        <w:rPr>
          <w:rFonts w:eastAsia="黑体"/>
          <w:color w:val="000000" w:themeColor="text1"/>
          <w:spacing w:val="6"/>
          <w:sz w:val="32"/>
          <w:szCs w:val="32"/>
          <w14:textFill>
            <w14:solidFill>
              <w14:schemeClr w14:val="tx1"/>
            </w14:solidFill>
          </w14:textFill>
        </w:rPr>
        <w:t>鼓励制造业企业高质量发展</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对于符合条件的制造业企业，给予提升奖、办公用房补助、自愿性清洁生产补助</w:t>
      </w:r>
      <w:r>
        <w:rPr>
          <w:rFonts w:hint="eastAsia"/>
          <w:color w:val="000000" w:themeColor="text1"/>
          <w:spacing w:val="6"/>
          <w:sz w:val="32"/>
          <w:szCs w:val="32"/>
          <w14:textFill>
            <w14:solidFill>
              <w14:schemeClr w14:val="tx1"/>
            </w14:solidFill>
          </w14:textFill>
        </w:rPr>
        <w:t>等。</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（一）提升奖</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对民营规上工业企业纳入统计部门统计的年产值对比上年度每增加1000万元给予1万元补助，每家企业每年度补助最高10万元。以后再次申报以上次获该补助当年度产值为基数。</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（二）办公用房补助</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sz w:val="32"/>
          <w:szCs w:val="32"/>
          <w14:textFill>
            <w14:solidFill>
              <w14:schemeClr w14:val="tx1"/>
            </w14:solidFill>
          </w14:textFill>
        </w:rPr>
        <w:t>对响应政府城市更新发展的制造业企业，经我街道登记备案，将生产环节转移到辖区以外，总部留在东区街道，且产值纳入东区街道统计的规上企业，给予办公用房补助，具体标准如下：</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在东区街道租用、自建或购置自用办公用房的，以实际办公用房面积（不含配套设施），按市住建部门公布的该办公用房所在区域房屋租金指导价（如实际租金单价低于市住建部门公布的租金指导价则按实际租金单价为准）给予办公用房补助。根据上年度纳入统计部门统计的产值每5000万元给予100平方米的租金面积补助。最高补贴面积不超过2000平方米，最长补助三年。</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（三）自愿性清洁生产补助</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开展自愿性清洁生产审核并获得市清洁生产补助的企业，按“广东省清洁生产企业”称号的企业给予一次性5万元配套；“中山市清洁生产企业”称号的企业给予一次性3万元配套。</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bCs/>
          <w:snapToGrid w:val="0"/>
          <w:color w:val="000000" w:themeColor="text1"/>
          <w:spacing w:val="6"/>
          <w:kern w:val="0"/>
          <w:sz w:val="32"/>
          <w:szCs w:val="32"/>
          <w14:textFill>
            <w14:solidFill>
              <w14:schemeClr w14:val="tx1"/>
            </w14:solidFill>
          </w14:textFill>
        </w:rPr>
        <w:t>（四</w:t>
      </w:r>
      <w:r>
        <w:rPr>
          <w:rFonts w:hint="eastAsia"/>
          <w:bCs/>
          <w:snapToGrid w:val="0"/>
          <w:color w:val="000000" w:themeColor="text1"/>
          <w:spacing w:val="6"/>
          <w:kern w:val="0"/>
          <w:sz w:val="32"/>
          <w:szCs w:val="32"/>
          <w14:textFill>
            <w14:solidFill>
              <w14:schemeClr w14:val="tx1"/>
            </w14:solidFill>
          </w14:textFill>
        </w:rPr>
        <w:t>）对技术改造、上规培育等扶持项目，按市级资金管理办法给予配套支持</w:t>
      </w:r>
      <w:r>
        <w:rPr>
          <w:rFonts w:hint="eastAsia"/>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contextualSpacing/>
        <w:rPr>
          <w:rFonts w:eastAsia="楷体_GB2312"/>
          <w:color w:val="000000" w:themeColor="text1"/>
          <w:spacing w:val="6"/>
          <w:kern w:val="0"/>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第九条</w:t>
      </w:r>
      <w:r>
        <w:rPr>
          <w:rFonts w:eastAsia="楷体_GB2312"/>
          <w:color w:val="000000" w:themeColor="text1"/>
          <w:spacing w:val="6"/>
          <w:kern w:val="0"/>
          <w:szCs w:val="32"/>
          <w14:textFill>
            <w14:solidFill>
              <w14:schemeClr w14:val="tx1"/>
            </w14:solidFill>
          </w14:textFill>
        </w:rPr>
        <w:t xml:space="preserve"> </w:t>
      </w:r>
      <w:r>
        <w:rPr>
          <w:rFonts w:eastAsia="黑体"/>
          <w:color w:val="000000" w:themeColor="text1"/>
          <w:spacing w:val="6"/>
          <w:sz w:val="32"/>
          <w:szCs w:val="32"/>
          <w14:textFill>
            <w14:solidFill>
              <w14:schemeClr w14:val="tx1"/>
            </w14:solidFill>
          </w14:textFill>
        </w:rPr>
        <w:t>鼓励科技创新发展</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对于符合条件的科</w:t>
      </w:r>
      <w:r>
        <w:rPr>
          <w:snapToGrid w:val="0"/>
          <w:color w:val="000000" w:themeColor="text1"/>
          <w:spacing w:val="6"/>
          <w:kern w:val="32"/>
          <w:sz w:val="32"/>
          <w:szCs w:val="32"/>
          <w14:textFill>
            <w14:solidFill>
              <w14:schemeClr w14:val="tx1"/>
            </w14:solidFill>
          </w14:textFill>
        </w:rPr>
        <w:t>技创新项目、高新技术企业、众创空间、孵化器以及研发平台等单位，给予认定奖和考评奖。</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（一）认定奖</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1、对上年度通过认定的高新技术企业，营业收入达5000万元（含）以上的，给予10万元资助，营业收入2000万元（含）以上5000万元以下的，给予5万元资助，营业收入2000万元以下的，给予3万元资助。</w:t>
      </w:r>
      <w:r>
        <w:rPr>
          <w:rFonts w:hint="eastAsia"/>
          <w:color w:val="000000" w:themeColor="text1"/>
          <w:spacing w:val="6"/>
          <w:sz w:val="32"/>
          <w:szCs w:val="32"/>
          <w14:textFill>
            <w14:solidFill>
              <w14:schemeClr w14:val="tx1"/>
            </w14:solidFill>
          </w14:textFill>
        </w:rPr>
        <w:t>对新迁至东区街道、年营业收入2000万元以上的高企，承诺三年内不搬离东区街道且营业收入保持在2000万元以上的，一次性补助20万元。</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2、</w:t>
      </w:r>
      <w:r>
        <w:rPr>
          <w:color w:val="000000" w:themeColor="text1"/>
          <w:spacing w:val="6"/>
          <w:sz w:val="32"/>
          <w:szCs w:val="32"/>
          <w14:textFill>
            <w14:solidFill>
              <w14:schemeClr w14:val="tx1"/>
            </w14:solidFill>
          </w14:textFill>
        </w:rPr>
        <w:t>工程技术研究中心、重点实验室等科技创新平台，获得国家、省级、市级认定的，分别给与20万元、10万元、5万元的补助，同一单位补助金额最高不超过30万元。</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3、众创空间运营单位，获得国家、省级、市级认定的，分别给与10万元、5万元、2万元的补助；科技企业孵化器运营单位，获得国家、省级、市级认定的，分别给与15万元、10万元、5万元的补助；加速器运营单位，获得省级、市级认定的，分别给与20万元、10万元的补助。众创空间、孵化器、加速器提级后，按差额核拨认定补助。</w:t>
      </w:r>
    </w:p>
    <w:p>
      <w:pPr>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（二）考评奖</w:t>
      </w:r>
      <w:r>
        <w:rPr>
          <w:color w:val="000000" w:themeColor="text1"/>
          <w:spacing w:val="6"/>
          <w:sz w:val="32"/>
          <w:szCs w:val="32"/>
          <w14:textFill>
            <w14:solidFill>
              <w14:schemeClr w14:val="tx1"/>
            </w14:solidFill>
          </w14:textFill>
        </w:rPr>
        <w:t>。</w:t>
      </w:r>
    </w:p>
    <w:p>
      <w:pPr>
        <w:adjustRightInd w:val="0"/>
        <w:snapToGrid w:val="0"/>
        <w:spacing w:line="336" w:lineRule="auto"/>
        <w:ind w:firstLine="664" w:firstLineChars="200"/>
        <w:rPr>
          <w:snapToGrid w:val="0"/>
          <w:color w:val="000000" w:themeColor="text1"/>
          <w:spacing w:val="6"/>
          <w:kern w:val="32"/>
          <w:sz w:val="32"/>
          <w:szCs w:val="32"/>
          <w14:textFill>
            <w14:solidFill>
              <w14:schemeClr w14:val="tx1"/>
            </w14:solidFill>
          </w14:textFill>
        </w:rPr>
      </w:pPr>
      <w:r>
        <w:rPr>
          <w:color w:val="000000" w:themeColor="text1"/>
          <w:spacing w:val="6"/>
          <w:sz w:val="32"/>
          <w:szCs w:val="32"/>
          <w14:textFill>
            <w14:solidFill>
              <w14:schemeClr w14:val="tx1"/>
            </w14:solidFill>
          </w14:textFill>
        </w:rPr>
        <w:t>1、对于年度考核评级获得A级的国家、省级、市级</w:t>
      </w:r>
      <w:r>
        <w:rPr>
          <w:snapToGrid w:val="0"/>
          <w:color w:val="000000" w:themeColor="text1"/>
          <w:spacing w:val="6"/>
          <w:kern w:val="32"/>
          <w:sz w:val="32"/>
          <w:szCs w:val="32"/>
          <w14:textFill>
            <w14:solidFill>
              <w14:schemeClr w14:val="tx1"/>
            </w14:solidFill>
          </w14:textFill>
        </w:rPr>
        <w:t>众创空间，</w:t>
      </w:r>
      <w:r>
        <w:rPr>
          <w:color w:val="000000" w:themeColor="text1"/>
          <w:spacing w:val="6"/>
          <w:sz w:val="32"/>
          <w:szCs w:val="32"/>
          <w14:textFill>
            <w14:solidFill>
              <w14:schemeClr w14:val="tx1"/>
            </w14:solidFill>
          </w14:textFill>
        </w:rPr>
        <w:t>分别给与10万元、5万元、2万元的补助；对于年度考核评级获得A级的国家、省级、市级</w:t>
      </w:r>
      <w:r>
        <w:rPr>
          <w:snapToGrid w:val="0"/>
          <w:color w:val="000000" w:themeColor="text1"/>
          <w:spacing w:val="6"/>
          <w:kern w:val="32"/>
          <w:sz w:val="32"/>
          <w:szCs w:val="32"/>
          <w14:textFill>
            <w14:solidFill>
              <w14:schemeClr w14:val="tx1"/>
            </w14:solidFill>
          </w14:textFill>
        </w:rPr>
        <w:t>孵化器，</w:t>
      </w:r>
      <w:r>
        <w:rPr>
          <w:color w:val="000000" w:themeColor="text1"/>
          <w:spacing w:val="6"/>
          <w:sz w:val="32"/>
          <w:szCs w:val="32"/>
          <w14:textFill>
            <w14:solidFill>
              <w14:schemeClr w14:val="tx1"/>
            </w14:solidFill>
          </w14:textFill>
        </w:rPr>
        <w:t>分别给与15万元、10万元、5万元的补助。对于年度考核评级获得B级的国家级</w:t>
      </w:r>
      <w:r>
        <w:rPr>
          <w:snapToGrid w:val="0"/>
          <w:color w:val="000000" w:themeColor="text1"/>
          <w:spacing w:val="6"/>
          <w:kern w:val="32"/>
          <w:sz w:val="32"/>
          <w:szCs w:val="32"/>
          <w14:textFill>
            <w14:solidFill>
              <w14:schemeClr w14:val="tx1"/>
            </w14:solidFill>
          </w14:textFill>
        </w:rPr>
        <w:t>孵化器，给予10万元补助。同一众创空间、孵化器被多级评价的，按“就高补差不重复”的原则补助。</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color w:val="000000" w:themeColor="text1"/>
          <w:spacing w:val="6"/>
          <w:sz w:val="32"/>
          <w:szCs w:val="32"/>
          <w14:textFill>
            <w14:solidFill>
              <w14:schemeClr w14:val="tx1"/>
            </w14:solidFill>
          </w14:textFill>
        </w:rPr>
        <w:t>2、对于在省级科技金融服务平台年度监测评估获得优秀和良好等级评价的单位，分别给予一次性30万元、15万元补助。</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rFonts w:hint="eastAsia"/>
          <w:color w:val="000000" w:themeColor="text1"/>
          <w:spacing w:val="6"/>
          <w:sz w:val="32"/>
          <w:szCs w:val="32"/>
          <w14:textFill>
            <w14:solidFill>
              <w14:schemeClr w14:val="tx1"/>
            </w14:solidFill>
          </w14:textFill>
        </w:rPr>
        <w:t>（三）补助奖</w:t>
      </w:r>
    </w:p>
    <w:p>
      <w:pPr>
        <w:adjustRightInd w:val="0"/>
        <w:snapToGrid w:val="0"/>
        <w:spacing w:line="336" w:lineRule="auto"/>
        <w:ind w:firstLine="664" w:firstLineChars="200"/>
        <w:rPr>
          <w:snapToGrid w:val="0"/>
          <w:color w:val="000000" w:themeColor="text1"/>
          <w:spacing w:val="6"/>
          <w:kern w:val="32"/>
          <w:sz w:val="32"/>
          <w:szCs w:val="32"/>
          <w14:textFill>
            <w14:solidFill>
              <w14:schemeClr w14:val="tx1"/>
            </w14:solidFill>
          </w14:textFill>
        </w:rPr>
      </w:pPr>
      <w:r>
        <w:rPr>
          <w:snapToGrid w:val="0"/>
          <w:color w:val="000000" w:themeColor="text1"/>
          <w:spacing w:val="6"/>
          <w:kern w:val="32"/>
          <w:sz w:val="32"/>
          <w:szCs w:val="32"/>
          <w14:textFill>
            <w14:solidFill>
              <w14:schemeClr w14:val="tx1"/>
            </w14:solidFill>
          </w14:textFill>
        </w:rPr>
        <w:t>1.</w:t>
      </w:r>
      <w:r>
        <w:rPr>
          <w:rFonts w:hint="eastAsia"/>
          <w:snapToGrid w:val="0"/>
          <w:color w:val="000000" w:themeColor="text1"/>
          <w:spacing w:val="6"/>
          <w:kern w:val="32"/>
          <w:sz w:val="32"/>
          <w:szCs w:val="32"/>
          <w14:textFill>
            <w14:solidFill>
              <w14:schemeClr w14:val="tx1"/>
            </w14:solidFill>
          </w14:textFill>
        </w:rPr>
        <w:t>对获得国家、省、市资助科技项目及科技技术奖励予以配套，按照资助金额的50%给予一次性资金配套支持，同一单位补助金额最高不超过20万元。同一项目获多级资助的按最高金额奖励。</w:t>
      </w:r>
    </w:p>
    <w:p>
      <w:pPr>
        <w:adjustRightInd w:val="0"/>
        <w:snapToGrid w:val="0"/>
        <w:spacing w:line="336" w:lineRule="auto"/>
        <w:ind w:firstLine="664" w:firstLineChars="200"/>
        <w:rPr>
          <w:rFonts w:hint="eastAsia" w:ascii="Times New Roman" w:hAnsi="Times New Roman" w:eastAsia="仿宋_GB2312" w:cs="Times New Roman"/>
          <w:spacing w:val="6"/>
          <w:kern w:val="2"/>
          <w:sz w:val="32"/>
          <w:szCs w:val="32"/>
        </w:rPr>
      </w:pPr>
      <w:r>
        <w:rPr>
          <w:color w:val="000000" w:themeColor="text1"/>
          <w:spacing w:val="6"/>
          <w:sz w:val="32"/>
          <w:szCs w:val="32"/>
          <w14:textFill>
            <w14:solidFill>
              <w14:schemeClr w14:val="tx1"/>
            </w14:solidFill>
          </w14:textFill>
        </w:rPr>
        <w:t>2.</w:t>
      </w:r>
      <w:r>
        <w:rPr>
          <w:rFonts w:hint="eastAsia"/>
          <w:color w:val="000000" w:themeColor="text1"/>
          <w:spacing w:val="6"/>
          <w:sz w:val="32"/>
          <w:szCs w:val="32"/>
          <w14:textFill>
            <w14:solidFill>
              <w14:schemeClr w14:val="tx1"/>
            </w14:solidFill>
          </w14:textFill>
        </w:rPr>
        <w:t>研发费用补助。</w:t>
      </w:r>
      <w:r>
        <w:rPr>
          <w:rFonts w:hint="eastAsia"/>
          <w:color w:val="000000" w:themeColor="text1"/>
          <w:spacing w:val="6"/>
          <w:sz w:val="32"/>
          <w:szCs w:val="32"/>
          <w14:textFill>
            <w14:solidFill>
              <w14:schemeClr w14:val="tx1"/>
            </w14:solidFill>
          </w14:textFill>
        </w:rPr>
        <w:t>对上年度研发费占同期营业收入不低于3%且研发费加计扣除额在300万元（含）以上的企业，根据税务部门提供的上年度研发费税前加计扣除额按最高2%的比例补助，</w:t>
      </w:r>
      <w:r>
        <w:rPr>
          <w:rFonts w:hint="eastAsia"/>
          <w:color w:val="000000" w:themeColor="text1"/>
          <w:spacing w:val="6"/>
          <w:sz w:val="32"/>
          <w:szCs w:val="32"/>
          <w14:textFill>
            <w14:solidFill>
              <w14:schemeClr w14:val="tx1"/>
            </w14:solidFill>
          </w14:textFill>
        </w:rPr>
        <w:t>每家企业补助金额最高不超过10万元</w:t>
      </w:r>
      <w:r>
        <w:rPr>
          <w:rFonts w:hint="eastAsia"/>
          <w:color w:val="000000" w:themeColor="text1"/>
          <w:spacing w:val="6"/>
          <w:sz w:val="32"/>
          <w:szCs w:val="32"/>
          <w14:textFill>
            <w14:solidFill>
              <w14:schemeClr w14:val="tx1"/>
            </w14:solidFill>
          </w14:textFill>
        </w:rPr>
        <w:t>；</w:t>
      </w:r>
    </w:p>
    <w:p>
      <w:pPr>
        <w:pStyle w:val="5"/>
        <w:shd w:val="clear" w:color="auto" w:fill="FFFFFF"/>
        <w:spacing w:before="0" w:beforeAutospacing="0" w:after="0" w:afterAutospacing="0" w:line="570" w:lineRule="atLeast"/>
        <w:jc w:val="both"/>
        <w:rPr>
          <w:rFonts w:ascii="Times New Roman" w:hAnsi="Times New Roman" w:eastAsia="仿宋_GB2312" w:cs="Times New Roman"/>
          <w:color w:val="000000" w:themeColor="text1"/>
          <w:spacing w:val="6"/>
          <w:kern w:val="2"/>
          <w:sz w:val="32"/>
          <w:szCs w:val="32"/>
          <w14:textFill>
            <w14:solidFill>
              <w14:schemeClr w14:val="tx1"/>
            </w14:solidFill>
          </w14:textFill>
        </w:rPr>
      </w:pPr>
      <w:r>
        <w:rPr>
          <w:rFonts w:hint="eastAsia" w:ascii="Times New Roman" w:hAnsi="Times New Roman" w:eastAsia="仿宋_GB2312" w:cs="Times New Roman"/>
          <w:color w:val="000000" w:themeColor="text1"/>
          <w:spacing w:val="6"/>
          <w:kern w:val="2"/>
          <w:sz w:val="32"/>
          <w:szCs w:val="32"/>
          <w14:textFill>
            <w14:solidFill>
              <w14:schemeClr w14:val="tx1"/>
            </w14:solidFill>
          </w14:textFill>
        </w:rPr>
        <w:t>研发费用增速增量补助。年度研发费用达到5000万元（含）以上且同比增长5%以上的，给予不高于50万元一次性补助；年度研发费用达到2000万元（含）以</w:t>
      </w:r>
      <w:r>
        <w:rPr>
          <w:rFonts w:ascii="Times New Roman" w:hAnsi="Times New Roman" w:eastAsia="仿宋_GB2312" w:cs="Times New Roman"/>
          <w:color w:val="000000" w:themeColor="text1"/>
          <w:spacing w:val="6"/>
          <w:kern w:val="2"/>
          <w:sz w:val="32"/>
          <w:szCs w:val="32"/>
          <w14:textFill>
            <w14:solidFill>
              <w14:schemeClr w14:val="tx1"/>
            </w14:solidFill>
          </w14:textFill>
        </w:rPr>
        <w:t>上5000万元以下且同比增长5%以上的，给予不高于2</w:t>
      </w:r>
      <w:r>
        <w:rPr>
          <w:rFonts w:hint="eastAsia" w:ascii="Times New Roman" w:hAnsi="Times New Roman" w:eastAsia="仿宋_GB2312" w:cs="Times New Roman"/>
          <w:color w:val="000000" w:themeColor="text1"/>
          <w:spacing w:val="6"/>
          <w:kern w:val="2"/>
          <w:sz w:val="32"/>
          <w:szCs w:val="32"/>
          <w14:textFill>
            <w14:solidFill>
              <w14:schemeClr w14:val="tx1"/>
            </w14:solidFill>
          </w14:textFill>
        </w:rPr>
        <w:t>0</w:t>
      </w:r>
      <w:r>
        <w:rPr>
          <w:rFonts w:ascii="Times New Roman" w:hAnsi="Times New Roman" w:eastAsia="仿宋_GB2312" w:cs="Times New Roman"/>
          <w:color w:val="000000" w:themeColor="text1"/>
          <w:spacing w:val="6"/>
          <w:kern w:val="2"/>
          <w:sz w:val="32"/>
          <w:szCs w:val="32"/>
          <w14:textFill>
            <w14:solidFill>
              <w14:schemeClr w14:val="tx1"/>
            </w14:solidFill>
          </w14:textFill>
        </w:rPr>
        <w:t>万元一次性补助。年度研发费用达到1000万元（含）以上2000万元以下的且同比增长10%以上的，给予不高于1</w:t>
      </w:r>
      <w:r>
        <w:rPr>
          <w:rFonts w:hint="eastAsia" w:ascii="Times New Roman" w:hAnsi="Times New Roman" w:eastAsia="仿宋_GB2312" w:cs="Times New Roman"/>
          <w:color w:val="000000" w:themeColor="text1"/>
          <w:spacing w:val="6"/>
          <w:kern w:val="2"/>
          <w:sz w:val="32"/>
          <w:szCs w:val="32"/>
          <w14:textFill>
            <w14:solidFill>
              <w14:schemeClr w14:val="tx1"/>
            </w14:solidFill>
          </w14:textFill>
        </w:rPr>
        <w:t>0</w:t>
      </w:r>
      <w:r>
        <w:rPr>
          <w:rFonts w:ascii="Times New Roman" w:hAnsi="Times New Roman" w:eastAsia="仿宋_GB2312" w:cs="Times New Roman"/>
          <w:color w:val="000000" w:themeColor="text1"/>
          <w:spacing w:val="6"/>
          <w:kern w:val="2"/>
          <w:sz w:val="32"/>
          <w:szCs w:val="32"/>
          <w14:textFill>
            <w14:solidFill>
              <w14:schemeClr w14:val="tx1"/>
            </w14:solidFill>
          </w14:textFill>
        </w:rPr>
        <w:t>万元一次性补助。同一企业项目同时符合多项该类补助条件的，按就高不重复原则进行补助。</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rFonts w:hint="eastAsia"/>
          <w:color w:val="000000" w:themeColor="text1"/>
          <w:spacing w:val="6"/>
          <w:sz w:val="32"/>
          <w:szCs w:val="32"/>
          <w14:textFill>
            <w14:solidFill>
              <w14:schemeClr w14:val="tx1"/>
            </w14:solidFill>
          </w14:textFill>
        </w:rPr>
        <w:t xml:space="preserve"> </w:t>
      </w:r>
    </w:p>
    <w:p>
      <w:pPr>
        <w:adjustRightInd w:val="0"/>
        <w:snapToGrid w:val="0"/>
        <w:spacing w:line="336" w:lineRule="auto"/>
        <w:ind w:firstLine="664" w:firstLineChars="200"/>
        <w:contextualSpacing/>
        <w:rPr>
          <w:rFonts w:eastAsia="黑体"/>
          <w:color w:val="000000" w:themeColor="text1"/>
          <w:spacing w:val="6"/>
          <w:sz w:val="32"/>
          <w:szCs w:val="32"/>
          <w14:textFill>
            <w14:solidFill>
              <w14:schemeClr w14:val="tx1"/>
            </w14:solidFill>
          </w14:textFill>
        </w:rPr>
      </w:pPr>
      <w:r>
        <w:rPr>
          <w:rFonts w:eastAsia="黑体"/>
          <w:color w:val="000000" w:themeColor="text1"/>
          <w:spacing w:val="6"/>
          <w:sz w:val="32"/>
          <w:szCs w:val="32"/>
          <w14:textFill>
            <w14:solidFill>
              <w14:schemeClr w14:val="tx1"/>
            </w14:solidFill>
          </w14:textFill>
        </w:rPr>
        <w:t xml:space="preserve">第十条 </w:t>
      </w:r>
      <w:r>
        <w:rPr>
          <w:rFonts w:eastAsia="黑体"/>
          <w:color w:val="000000" w:themeColor="text1"/>
          <w:spacing w:val="6"/>
          <w:sz w:val="32"/>
          <w:szCs w:val="32"/>
          <w14:textFill>
            <w14:solidFill>
              <w14:schemeClr w14:val="tx1"/>
            </w14:solidFill>
          </w14:textFill>
        </w:rPr>
        <w:t>支持</w:t>
      </w:r>
      <w:r>
        <w:rPr>
          <w:rFonts w:eastAsia="黑体"/>
          <w:color w:val="000000" w:themeColor="text1"/>
          <w:spacing w:val="6"/>
          <w:sz w:val="32"/>
          <w:szCs w:val="32"/>
          <w14:textFill>
            <w14:solidFill>
              <w14:schemeClr w14:val="tx1"/>
            </w14:solidFill>
          </w14:textFill>
        </w:rPr>
        <w:t>电子商务发展</w:t>
      </w:r>
    </w:p>
    <w:p>
      <w:pPr>
        <w:spacing w:line="336" w:lineRule="auto"/>
        <w:ind w:firstLine="640" w:firstLineChars="20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支持电子商务企业自建或通过第三方商务交易平台，并且通过该平台销售实体商品达到1亿、3亿、5亿给予相对应10万、30万、50万扶持。</w:t>
      </w:r>
    </w:p>
    <w:p>
      <w:pPr>
        <w:adjustRightInd w:val="0"/>
        <w:snapToGrid w:val="0"/>
        <w:spacing w:line="336" w:lineRule="auto"/>
        <w:ind w:firstLine="664" w:firstLineChars="200"/>
        <w:contextualSpacing/>
        <w:rPr>
          <w:rFonts w:eastAsia="黑体"/>
          <w:color w:val="000000" w:themeColor="text1"/>
          <w:spacing w:val="6"/>
          <w:sz w:val="32"/>
          <w:szCs w:val="32"/>
          <w14:textFill>
            <w14:solidFill>
              <w14:schemeClr w14:val="tx1"/>
            </w14:solidFill>
          </w14:textFill>
        </w:rPr>
      </w:pPr>
      <w:r>
        <w:rPr>
          <w:rFonts w:hint="eastAsia" w:eastAsia="黑体"/>
          <w:color w:val="000000" w:themeColor="text1"/>
          <w:spacing w:val="6"/>
          <w:sz w:val="32"/>
          <w:szCs w:val="32"/>
          <w14:textFill>
            <w14:solidFill>
              <w14:schemeClr w14:val="tx1"/>
            </w14:solidFill>
          </w14:textFill>
        </w:rPr>
        <w:t>第十一条</w:t>
      </w:r>
      <w:r>
        <w:rPr>
          <w:rFonts w:eastAsia="黑体"/>
          <w:color w:val="000000" w:themeColor="text1"/>
          <w:spacing w:val="6"/>
          <w:sz w:val="32"/>
          <w:szCs w:val="32"/>
          <w14:textFill>
            <w14:solidFill>
              <w14:schemeClr w14:val="tx1"/>
            </w14:solidFill>
          </w14:textFill>
        </w:rPr>
        <w:t xml:space="preserve"> </w:t>
      </w:r>
      <w:r>
        <w:rPr>
          <w:rFonts w:hint="eastAsia" w:eastAsia="黑体"/>
          <w:color w:val="000000" w:themeColor="text1"/>
          <w:spacing w:val="6"/>
          <w:sz w:val="32"/>
          <w:szCs w:val="32"/>
          <w14:textFill>
            <w14:solidFill>
              <w14:schemeClr w14:val="tx1"/>
            </w14:solidFill>
          </w14:textFill>
        </w:rPr>
        <w:t>支持跨境电商发展</w:t>
      </w:r>
    </w:p>
    <w:p>
      <w:pPr>
        <w:spacing w:line="336" w:lineRule="auto"/>
        <w:ind w:firstLine="640" w:firstLineChars="200"/>
        <w:rPr>
          <w:color w:val="000000" w:themeColor="text1"/>
          <w:spacing w:val="6"/>
          <w:sz w:val="32"/>
          <w:szCs w:val="32"/>
          <w14:textFill>
            <w14:solidFill>
              <w14:schemeClr w14:val="tx1"/>
            </w14:solidFill>
          </w14:textFill>
        </w:rPr>
      </w:pPr>
      <w:r>
        <w:rPr>
          <w:rFonts w:hint="eastAsia"/>
          <w:color w:val="000000" w:themeColor="text1"/>
          <w:sz w:val="32"/>
          <w:szCs w:val="32"/>
          <w14:textFill>
            <w14:solidFill>
              <w14:schemeClr w14:val="tx1"/>
            </w14:solidFill>
          </w14:textFill>
        </w:rPr>
        <w:t>对企业完成中山跨境电商业务管理平台备案并开展海关跨境电商监管代码业务，且资金申报年度内纳入中山跨境电商业务管理平台统计的交易额达到100万，一次性奖励企业3万元。对跨境电商进出口总额每年度5000万、1亿、3亿、5亿元以上的跨境电子商务企业，每家企业给予10万元、20万、30万、50万资金支持。</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p>
    <w:p>
      <w:pPr>
        <w:tabs>
          <w:tab w:val="right" w:pos="8306"/>
        </w:tabs>
        <w:adjustRightInd w:val="0"/>
        <w:snapToGrid w:val="0"/>
        <w:spacing w:line="336" w:lineRule="auto"/>
        <w:jc w:val="center"/>
        <w:rPr>
          <w:color w:val="000000" w:themeColor="text1"/>
          <w:spacing w:val="6"/>
          <w:sz w:val="32"/>
          <w:szCs w:val="32"/>
          <w14:textFill>
            <w14:solidFill>
              <w14:schemeClr w14:val="tx1"/>
            </w14:solidFill>
          </w14:textFill>
        </w:rPr>
      </w:pPr>
      <w:r>
        <w:rPr>
          <w:rFonts w:hint="eastAsia" w:eastAsia="黑体"/>
          <w:color w:val="000000" w:themeColor="text1"/>
          <w:spacing w:val="6"/>
          <w:kern w:val="0"/>
          <w:sz w:val="32"/>
          <w:szCs w:val="32"/>
          <w14:textFill>
            <w14:solidFill>
              <w14:schemeClr w14:val="tx1"/>
            </w14:solidFill>
          </w14:textFill>
        </w:rPr>
        <w:t xml:space="preserve">第三章  监督管理 </w:t>
      </w:r>
    </w:p>
    <w:p>
      <w:pPr>
        <w:tabs>
          <w:tab w:val="right" w:pos="8306"/>
        </w:tabs>
        <w:adjustRightInd w:val="0"/>
        <w:snapToGrid w:val="0"/>
        <w:spacing w:line="336" w:lineRule="auto"/>
        <w:ind w:firstLine="650" w:firstLineChars="196"/>
        <w:rPr>
          <w:color w:val="000000" w:themeColor="text1"/>
          <w:spacing w:val="6"/>
          <w:sz w:val="32"/>
          <w:szCs w:val="32"/>
          <w14:textFill>
            <w14:solidFill>
              <w14:schemeClr w14:val="tx1"/>
            </w14:solidFill>
          </w14:textFill>
        </w:rPr>
      </w:pPr>
      <w:r>
        <w:rPr>
          <w:rFonts w:hint="eastAsia" w:eastAsia="黑体"/>
          <w:color w:val="000000" w:themeColor="text1"/>
          <w:spacing w:val="6"/>
          <w:sz w:val="32"/>
          <w:szCs w:val="32"/>
          <w14:textFill>
            <w14:solidFill>
              <w14:schemeClr w14:val="tx1"/>
            </w14:solidFill>
          </w14:textFill>
        </w:rPr>
        <w:t>第</w:t>
      </w:r>
      <w:r>
        <w:rPr>
          <w:rFonts w:hint="eastAsia" w:eastAsia="黑体"/>
          <w:color w:val="000000" w:themeColor="text1"/>
          <w:spacing w:val="6"/>
          <w:sz w:val="32"/>
          <w:szCs w:val="32"/>
          <w14:textFill>
            <w14:solidFill>
              <w14:schemeClr w14:val="tx1"/>
            </w14:solidFill>
          </w14:textFill>
        </w:rPr>
        <w:t>十二</w:t>
      </w:r>
      <w:r>
        <w:rPr>
          <w:rFonts w:hint="eastAsia" w:eastAsia="黑体"/>
          <w:color w:val="000000" w:themeColor="text1"/>
          <w:spacing w:val="6"/>
          <w:sz w:val="32"/>
          <w:szCs w:val="32"/>
          <w14:textFill>
            <w14:solidFill>
              <w14:schemeClr w14:val="tx1"/>
            </w14:solidFill>
          </w14:textFill>
        </w:rPr>
        <w:t>条</w:t>
      </w:r>
      <w:r>
        <w:rPr>
          <w:b/>
          <w:color w:val="000000" w:themeColor="text1"/>
          <w:spacing w:val="6"/>
          <w:kern w:val="0"/>
          <w:sz w:val="32"/>
          <w:szCs w:val="32"/>
          <w14:textFill>
            <w14:solidFill>
              <w14:schemeClr w14:val="tx1"/>
            </w14:solidFill>
          </w14:textFill>
        </w:rPr>
        <w:t xml:space="preserve"> </w:t>
      </w:r>
      <w:r>
        <w:rPr>
          <w:rFonts w:hint="eastAsia"/>
          <w:color w:val="000000" w:themeColor="text1"/>
          <w:spacing w:val="6"/>
          <w:sz w:val="32"/>
          <w:szCs w:val="32"/>
          <w14:textFill>
            <w14:solidFill>
              <w14:schemeClr w14:val="tx1"/>
            </w14:solidFill>
          </w14:textFill>
        </w:rPr>
        <w:t>申请奖励资金的企业必须对提交申请材料的真实性负责。东区街道相关职能部门加强对企业补助资金的指导服务、跟踪管理和监督检查。对骗取、挪用、截留总部经济发展专项资金等违规行为，责令改正，构成违法犯罪的，移送司法机关处理。</w:t>
      </w:r>
    </w:p>
    <w:p>
      <w:pPr>
        <w:widowControl/>
        <w:shd w:val="clear" w:color="auto" w:fill="FFFFFF"/>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rFonts w:hint="eastAsia" w:eastAsia="黑体"/>
          <w:color w:val="000000" w:themeColor="text1"/>
          <w:spacing w:val="6"/>
          <w:kern w:val="0"/>
          <w:sz w:val="32"/>
          <w:szCs w:val="32"/>
          <w14:textFill>
            <w14:solidFill>
              <w14:schemeClr w14:val="tx1"/>
            </w14:solidFill>
          </w14:textFill>
        </w:rPr>
        <w:t>第</w:t>
      </w:r>
      <w:r>
        <w:rPr>
          <w:rFonts w:hint="eastAsia" w:eastAsia="黑体"/>
          <w:color w:val="000000" w:themeColor="text1"/>
          <w:spacing w:val="6"/>
          <w:kern w:val="0"/>
          <w:sz w:val="32"/>
          <w:szCs w:val="32"/>
          <w14:textFill>
            <w14:solidFill>
              <w14:schemeClr w14:val="tx1"/>
            </w14:solidFill>
          </w14:textFill>
        </w:rPr>
        <w:t>十三</w:t>
      </w:r>
      <w:r>
        <w:rPr>
          <w:rFonts w:hint="eastAsia" w:eastAsia="黑体"/>
          <w:color w:val="000000" w:themeColor="text1"/>
          <w:spacing w:val="6"/>
          <w:kern w:val="0"/>
          <w:sz w:val="32"/>
          <w:szCs w:val="32"/>
          <w14:textFill>
            <w14:solidFill>
              <w14:schemeClr w14:val="tx1"/>
            </w14:solidFill>
          </w14:textFill>
        </w:rPr>
        <w:t>条</w:t>
      </w:r>
      <w:r>
        <w:rPr>
          <w:rFonts w:hint="eastAsia"/>
          <w:color w:val="000000" w:themeColor="text1"/>
          <w:spacing w:val="6"/>
          <w:sz w:val="32"/>
          <w:szCs w:val="32"/>
          <w14:textFill>
            <w14:solidFill>
              <w14:schemeClr w14:val="tx1"/>
            </w14:solidFill>
          </w14:textFill>
        </w:rPr>
        <w:t xml:space="preserve"> 专项资金使用单位收到资助资金后，应</w:t>
      </w:r>
      <w:r>
        <w:rPr>
          <w:rFonts w:hint="eastAsia"/>
          <w:snapToGrid w:val="0"/>
          <w:color w:val="000000" w:themeColor="text1"/>
          <w:spacing w:val="6"/>
          <w:kern w:val="32"/>
          <w:sz w:val="32"/>
          <w:szCs w:val="32"/>
          <w14:textFill>
            <w14:solidFill>
              <w14:schemeClr w14:val="tx1"/>
            </w14:solidFill>
          </w14:textFill>
        </w:rPr>
        <w:t>配合</w:t>
      </w:r>
      <w:r>
        <w:rPr>
          <w:rFonts w:hint="eastAsia"/>
          <w:color w:val="000000" w:themeColor="text1"/>
          <w:spacing w:val="6"/>
          <w:sz w:val="32"/>
          <w:szCs w:val="32"/>
          <w14:textFill>
            <w14:solidFill>
              <w14:schemeClr w14:val="tx1"/>
            </w14:solidFill>
          </w14:textFill>
        </w:rPr>
        <w:t>东区街道相关职能部门</w:t>
      </w:r>
      <w:r>
        <w:rPr>
          <w:rFonts w:hint="eastAsia"/>
          <w:snapToGrid w:val="0"/>
          <w:color w:val="000000" w:themeColor="text1"/>
          <w:spacing w:val="6"/>
          <w:kern w:val="32"/>
          <w:sz w:val="32"/>
          <w:szCs w:val="32"/>
          <w14:textFill>
            <w14:solidFill>
              <w14:schemeClr w14:val="tx1"/>
            </w14:solidFill>
          </w14:textFill>
        </w:rPr>
        <w:t>的监督检查、数据统计和绩效评价。</w:t>
      </w:r>
    </w:p>
    <w:p>
      <w:pPr>
        <w:adjustRightInd w:val="0"/>
        <w:snapToGrid w:val="0"/>
        <w:spacing w:line="336" w:lineRule="auto"/>
        <w:rPr>
          <w:rFonts w:eastAsia="黑体"/>
          <w:b/>
          <w:bCs/>
          <w:color w:val="000000" w:themeColor="text1"/>
          <w:spacing w:val="6"/>
          <w:sz w:val="32"/>
          <w:szCs w:val="32"/>
          <w14:textFill>
            <w14:solidFill>
              <w14:schemeClr w14:val="tx1"/>
            </w14:solidFill>
          </w14:textFill>
        </w:rPr>
      </w:pPr>
    </w:p>
    <w:p>
      <w:pPr>
        <w:adjustRightInd w:val="0"/>
        <w:snapToGrid w:val="0"/>
        <w:spacing w:line="336" w:lineRule="auto"/>
        <w:jc w:val="center"/>
        <w:rPr>
          <w:color w:val="000000" w:themeColor="text1"/>
          <w:spacing w:val="6"/>
          <w:sz w:val="32"/>
          <w:szCs w:val="32"/>
          <w14:textFill>
            <w14:solidFill>
              <w14:schemeClr w14:val="tx1"/>
            </w14:solidFill>
          </w14:textFill>
        </w:rPr>
      </w:pPr>
      <w:r>
        <w:rPr>
          <w:rFonts w:hint="eastAsia" w:eastAsia="黑体"/>
          <w:color w:val="000000" w:themeColor="text1"/>
          <w:spacing w:val="6"/>
          <w:sz w:val="32"/>
          <w:szCs w:val="32"/>
          <w14:textFill>
            <w14:solidFill>
              <w14:schemeClr w14:val="tx1"/>
            </w14:solidFill>
          </w14:textFill>
        </w:rPr>
        <w:t>第四章</w:t>
      </w:r>
      <w:r>
        <w:rPr>
          <w:rFonts w:eastAsia="黑体"/>
          <w:color w:val="000000" w:themeColor="text1"/>
          <w:spacing w:val="6"/>
          <w:sz w:val="32"/>
          <w:szCs w:val="32"/>
          <w14:textFill>
            <w14:solidFill>
              <w14:schemeClr w14:val="tx1"/>
            </w14:solidFill>
          </w14:textFill>
        </w:rPr>
        <w:t xml:space="preserve">  </w:t>
      </w:r>
      <w:r>
        <w:rPr>
          <w:rFonts w:hint="eastAsia" w:eastAsia="黑体"/>
          <w:color w:val="000000" w:themeColor="text1"/>
          <w:spacing w:val="6"/>
          <w:sz w:val="32"/>
          <w:szCs w:val="32"/>
          <w14:textFill>
            <w14:solidFill>
              <w14:schemeClr w14:val="tx1"/>
            </w14:solidFill>
          </w14:textFill>
        </w:rPr>
        <w:t>附则</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rFonts w:hint="eastAsia" w:eastAsia="黑体"/>
          <w:color w:val="000000" w:themeColor="text1"/>
          <w:spacing w:val="6"/>
          <w:kern w:val="0"/>
          <w:sz w:val="32"/>
          <w:szCs w:val="32"/>
          <w14:textFill>
            <w14:solidFill>
              <w14:schemeClr w14:val="tx1"/>
            </w14:solidFill>
          </w14:textFill>
        </w:rPr>
        <w:t>第十</w:t>
      </w:r>
      <w:r>
        <w:rPr>
          <w:rFonts w:hint="eastAsia" w:eastAsia="黑体"/>
          <w:color w:val="000000" w:themeColor="text1"/>
          <w:spacing w:val="6"/>
          <w:kern w:val="0"/>
          <w:sz w:val="32"/>
          <w:szCs w:val="32"/>
          <w14:textFill>
            <w14:solidFill>
              <w14:schemeClr w14:val="tx1"/>
            </w14:solidFill>
          </w14:textFill>
        </w:rPr>
        <w:t>四</w:t>
      </w:r>
      <w:r>
        <w:rPr>
          <w:rFonts w:hint="eastAsia" w:eastAsia="黑体"/>
          <w:color w:val="000000" w:themeColor="text1"/>
          <w:spacing w:val="6"/>
          <w:kern w:val="0"/>
          <w:sz w:val="32"/>
          <w:szCs w:val="32"/>
          <w14:textFill>
            <w14:solidFill>
              <w14:schemeClr w14:val="tx1"/>
            </w14:solidFill>
          </w14:textFill>
        </w:rPr>
        <w:t xml:space="preserve">条 </w:t>
      </w:r>
      <w:r>
        <w:rPr>
          <w:rFonts w:hint="eastAsia"/>
          <w:color w:val="000000" w:themeColor="text1"/>
          <w:spacing w:val="6"/>
          <w:kern w:val="0"/>
          <w:sz w:val="32"/>
          <w:szCs w:val="32"/>
          <w14:textFill>
            <w14:solidFill>
              <w14:schemeClr w14:val="tx1"/>
            </w14:solidFill>
          </w14:textFill>
        </w:rPr>
        <w:t>以上扶持每年集中申报，具体时间和实施细则以当年通知为准。同时符合本办法多项条款的，除特别注明外，可重复申请。对当年度已享受市级相关奖励或其他扶持政策规定的（含上级部门要求镇街配套或者负担资金的政策规定），按照“从高不重复”的原则予以支持，另有规定的除外。</w:t>
      </w:r>
    </w:p>
    <w:p>
      <w:pPr>
        <w:adjustRightInd w:val="0"/>
        <w:snapToGrid w:val="0"/>
        <w:spacing w:line="336" w:lineRule="auto"/>
        <w:ind w:firstLine="664" w:firstLineChars="200"/>
        <w:rPr>
          <w:color w:val="000000" w:themeColor="text1"/>
          <w:spacing w:val="6"/>
          <w:sz w:val="32"/>
          <w:szCs w:val="32"/>
          <w14:textFill>
            <w14:solidFill>
              <w14:schemeClr w14:val="tx1"/>
            </w14:solidFill>
          </w14:textFill>
        </w:rPr>
      </w:pPr>
      <w:r>
        <w:rPr>
          <w:rFonts w:hint="eastAsia" w:eastAsia="黑体"/>
          <w:color w:val="000000" w:themeColor="text1"/>
          <w:spacing w:val="6"/>
          <w:kern w:val="0"/>
          <w:sz w:val="32"/>
          <w:szCs w:val="32"/>
          <w14:textFill>
            <w14:solidFill>
              <w14:schemeClr w14:val="tx1"/>
            </w14:solidFill>
          </w14:textFill>
        </w:rPr>
        <w:t>第十</w:t>
      </w:r>
      <w:r>
        <w:rPr>
          <w:rFonts w:hint="eastAsia" w:eastAsia="黑体"/>
          <w:color w:val="000000" w:themeColor="text1"/>
          <w:spacing w:val="6"/>
          <w:kern w:val="0"/>
          <w:sz w:val="32"/>
          <w:szCs w:val="32"/>
          <w14:textFill>
            <w14:solidFill>
              <w14:schemeClr w14:val="tx1"/>
            </w14:solidFill>
          </w14:textFill>
        </w:rPr>
        <w:t>五</w:t>
      </w:r>
      <w:r>
        <w:rPr>
          <w:rFonts w:hint="eastAsia" w:eastAsia="黑体"/>
          <w:color w:val="000000" w:themeColor="text1"/>
          <w:spacing w:val="6"/>
          <w:kern w:val="0"/>
          <w:sz w:val="32"/>
          <w:szCs w:val="32"/>
          <w14:textFill>
            <w14:solidFill>
              <w14:schemeClr w14:val="tx1"/>
            </w14:solidFill>
          </w14:textFill>
        </w:rPr>
        <w:t xml:space="preserve">条 </w:t>
      </w:r>
      <w:r>
        <w:rPr>
          <w:rFonts w:hint="eastAsia"/>
          <w:snapToGrid w:val="0"/>
          <w:color w:val="000000" w:themeColor="text1"/>
          <w:spacing w:val="6"/>
          <w:kern w:val="32"/>
          <w:sz w:val="32"/>
          <w:szCs w:val="32"/>
          <w14:textFill>
            <w14:solidFill>
              <w14:schemeClr w14:val="tx1"/>
            </w14:solidFill>
          </w14:textFill>
        </w:rPr>
        <w:t>享受本办法补助的</w:t>
      </w:r>
      <w:r>
        <w:rPr>
          <w:rFonts w:hint="eastAsia"/>
          <w:color w:val="000000" w:themeColor="text1"/>
          <w:spacing w:val="6"/>
          <w:sz w:val="32"/>
          <w:szCs w:val="32"/>
          <w14:textFill>
            <w14:solidFill>
              <w14:schemeClr w14:val="tx1"/>
            </w14:solidFill>
          </w14:textFill>
        </w:rPr>
        <w:t>企业须承诺3年内不将注册地迁离本街道（总部企业须承诺5年内不将注册地迁离本街道），不改变其在本街道的纳税义务。违约者须退回所得奖励和补助，并按银行同期贷款基准利率补交利息。</w:t>
      </w:r>
    </w:p>
    <w:p>
      <w:pPr>
        <w:tabs>
          <w:tab w:val="right" w:pos="8306"/>
        </w:tabs>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rFonts w:hint="eastAsia" w:eastAsia="黑体"/>
          <w:color w:val="000000" w:themeColor="text1"/>
          <w:spacing w:val="6"/>
          <w:sz w:val="32"/>
          <w:szCs w:val="32"/>
          <w14:textFill>
            <w14:solidFill>
              <w14:schemeClr w14:val="tx1"/>
            </w14:solidFill>
          </w14:textFill>
        </w:rPr>
        <w:t>第十</w:t>
      </w:r>
      <w:r>
        <w:rPr>
          <w:rFonts w:hint="eastAsia" w:eastAsia="黑体"/>
          <w:color w:val="000000" w:themeColor="text1"/>
          <w:spacing w:val="6"/>
          <w:sz w:val="32"/>
          <w:szCs w:val="32"/>
          <w14:textFill>
            <w14:solidFill>
              <w14:schemeClr w14:val="tx1"/>
            </w14:solidFill>
          </w14:textFill>
        </w:rPr>
        <w:t>六</w:t>
      </w:r>
      <w:r>
        <w:rPr>
          <w:rFonts w:hint="eastAsia" w:eastAsia="黑体"/>
          <w:color w:val="000000" w:themeColor="text1"/>
          <w:spacing w:val="6"/>
          <w:sz w:val="32"/>
          <w:szCs w:val="32"/>
          <w14:textFill>
            <w14:solidFill>
              <w14:schemeClr w14:val="tx1"/>
            </w14:solidFill>
          </w14:textFill>
        </w:rPr>
        <w:t>条</w:t>
      </w:r>
      <w:r>
        <w:rPr>
          <w:b/>
          <w:color w:val="000000" w:themeColor="text1"/>
          <w:spacing w:val="6"/>
          <w:kern w:val="0"/>
          <w:sz w:val="32"/>
          <w:szCs w:val="32"/>
          <w14:textFill>
            <w14:solidFill>
              <w14:schemeClr w14:val="tx1"/>
            </w14:solidFill>
          </w14:textFill>
        </w:rPr>
        <w:t xml:space="preserve"> </w:t>
      </w:r>
      <w:r>
        <w:rPr>
          <w:rFonts w:hint="eastAsia"/>
          <w:color w:val="000000" w:themeColor="text1"/>
          <w:spacing w:val="6"/>
          <w:sz w:val="32"/>
          <w:szCs w:val="32"/>
          <w14:textFill>
            <w14:solidFill>
              <w14:schemeClr w14:val="tx1"/>
            </w14:solidFill>
          </w14:textFill>
        </w:rPr>
        <w:t>本办法由东区街道发展改革和统计局、</w:t>
      </w:r>
      <w:r>
        <w:rPr>
          <w:rFonts w:hint="eastAsia"/>
          <w:snapToGrid w:val="0"/>
          <w:color w:val="000000" w:themeColor="text1"/>
          <w:spacing w:val="6"/>
          <w:kern w:val="32"/>
          <w:sz w:val="32"/>
          <w:szCs w:val="32"/>
          <w14:textFill>
            <w14:solidFill>
              <w14:schemeClr w14:val="tx1"/>
            </w14:solidFill>
          </w14:textFill>
        </w:rPr>
        <w:t>东区街道工业信息和科技商务局</w:t>
      </w:r>
      <w:r>
        <w:rPr>
          <w:rFonts w:hint="eastAsia"/>
          <w:color w:val="000000" w:themeColor="text1"/>
          <w:spacing w:val="6"/>
          <w:sz w:val="32"/>
          <w:szCs w:val="32"/>
          <w14:textFill>
            <w14:solidFill>
              <w14:schemeClr w14:val="tx1"/>
            </w14:solidFill>
          </w14:textFill>
        </w:rPr>
        <w:t>负责解释。</w:t>
      </w:r>
    </w:p>
    <w:p>
      <w:pPr>
        <w:spacing w:line="336" w:lineRule="auto"/>
        <w:ind w:firstLine="688"/>
        <w:rPr>
          <w:color w:val="000000" w:themeColor="text1"/>
          <w:spacing w:val="6"/>
          <w:sz w:val="32"/>
          <w:szCs w:val="32"/>
          <w14:textFill>
            <w14:solidFill>
              <w14:schemeClr w14:val="tx1"/>
            </w14:solidFill>
          </w14:textFill>
        </w:rPr>
      </w:pPr>
      <w:r>
        <w:rPr>
          <w:rFonts w:hint="eastAsia" w:eastAsia="黑体"/>
          <w:color w:val="000000" w:themeColor="text1"/>
          <w:spacing w:val="6"/>
          <w:sz w:val="32"/>
          <w:szCs w:val="32"/>
          <w14:textFill>
            <w14:solidFill>
              <w14:schemeClr w14:val="tx1"/>
            </w14:solidFill>
          </w14:textFill>
        </w:rPr>
        <w:t>第十</w:t>
      </w:r>
      <w:r>
        <w:rPr>
          <w:rFonts w:hint="eastAsia" w:eastAsia="黑体"/>
          <w:color w:val="000000" w:themeColor="text1"/>
          <w:spacing w:val="6"/>
          <w:sz w:val="32"/>
          <w:szCs w:val="32"/>
          <w14:textFill>
            <w14:solidFill>
              <w14:schemeClr w14:val="tx1"/>
            </w14:solidFill>
          </w14:textFill>
        </w:rPr>
        <w:t>七</w:t>
      </w:r>
      <w:r>
        <w:rPr>
          <w:rFonts w:hint="eastAsia" w:eastAsia="黑体"/>
          <w:color w:val="000000" w:themeColor="text1"/>
          <w:spacing w:val="6"/>
          <w:sz w:val="32"/>
          <w:szCs w:val="32"/>
          <w14:textFill>
            <w14:solidFill>
              <w14:schemeClr w14:val="tx1"/>
            </w14:solidFill>
          </w14:textFill>
        </w:rPr>
        <w:t>条</w:t>
      </w:r>
      <w:r>
        <w:rPr>
          <w:rFonts w:hint="eastAsia"/>
          <w:color w:val="000000" w:themeColor="text1"/>
          <w:spacing w:val="6"/>
          <w:kern w:val="0"/>
          <w:sz w:val="32"/>
          <w:szCs w:val="32"/>
          <w14:textFill>
            <w14:solidFill>
              <w14:schemeClr w14:val="tx1"/>
            </w14:solidFill>
          </w14:textFill>
        </w:rPr>
        <w:t xml:space="preserve"> 本办法有效期自发布之日起至2024年12月31日止。原</w:t>
      </w:r>
      <w:r>
        <w:rPr>
          <w:rFonts w:hint="eastAsia"/>
          <w:color w:val="000000" w:themeColor="text1"/>
          <w:spacing w:val="6"/>
          <w:sz w:val="32"/>
          <w:szCs w:val="32"/>
          <w14:textFill>
            <w14:solidFill>
              <w14:schemeClr w14:val="tx1"/>
            </w14:solidFill>
          </w14:textFill>
        </w:rPr>
        <w:t>《关于印发东区总部经济发展专项资金管理试行办法的通知》（东办〔2017〕90号）、《关于印发中山市东区总部企业认定试行办法的通知》（东办〔2017〕93号）、</w:t>
      </w:r>
      <w:r>
        <w:rPr>
          <w:rFonts w:hint="eastAsia"/>
          <w:color w:val="000000" w:themeColor="text1"/>
          <w:spacing w:val="6"/>
          <w:kern w:val="0"/>
          <w:sz w:val="32"/>
          <w:szCs w:val="32"/>
          <w14:textFill>
            <w14:solidFill>
              <w14:schemeClr w14:val="tx1"/>
            </w14:solidFill>
          </w14:textFill>
        </w:rPr>
        <w:t>《中山市东区工业发展专项资金管理暂行办法》（</w:t>
      </w:r>
      <w:r>
        <w:rPr>
          <w:rFonts w:hint="eastAsia"/>
          <w:color w:val="000000" w:themeColor="text1"/>
          <w:spacing w:val="6"/>
          <w:sz w:val="32"/>
          <w:szCs w:val="32"/>
          <w14:textFill>
            <w14:solidFill>
              <w14:schemeClr w14:val="tx1"/>
            </w14:solidFill>
          </w14:textFill>
        </w:rPr>
        <w:t>东办〔2017〕87号）、《中山市东区大数据产业专项资金管理试行办法》（东办〔2017〕77号）、</w:t>
      </w:r>
      <w:r>
        <w:rPr>
          <w:rFonts w:hint="eastAsia"/>
          <w:snapToGrid w:val="0"/>
          <w:color w:val="000000" w:themeColor="text1"/>
          <w:spacing w:val="6"/>
          <w:kern w:val="32"/>
          <w:sz w:val="32"/>
          <w:szCs w:val="32"/>
          <w14:textFill>
            <w14:solidFill>
              <w14:schemeClr w14:val="tx1"/>
            </w14:solidFill>
          </w14:textFill>
        </w:rPr>
        <w:t>《中山市东区科技创新发展专项资金管</w:t>
      </w:r>
      <w:r>
        <w:rPr>
          <w:snapToGrid w:val="0"/>
          <w:color w:val="000000" w:themeColor="text1"/>
          <w:spacing w:val="6"/>
          <w:kern w:val="32"/>
          <w:sz w:val="32"/>
          <w:szCs w:val="32"/>
          <w14:textFill>
            <w14:solidFill>
              <w14:schemeClr w14:val="tx1"/>
            </w14:solidFill>
          </w14:textFill>
        </w:rPr>
        <w:t>理试行办法》（东办〔2017〕86号）和《中山市东区高新技术企业发展专项资金管理办法》（东办〔2017〕36号）、</w:t>
      </w:r>
      <w:r>
        <w:rPr>
          <w:color w:val="000000" w:themeColor="text1"/>
          <w:spacing w:val="6"/>
          <w:kern w:val="0"/>
          <w:sz w:val="32"/>
          <w:szCs w:val="32"/>
          <w14:textFill>
            <w14:solidFill>
              <w14:schemeClr w14:val="tx1"/>
            </w14:solidFill>
          </w14:textFill>
        </w:rPr>
        <w:t>《东区服务业上规上限及稳增长专项资金管理暂行办法》（</w:t>
      </w:r>
      <w:r>
        <w:rPr>
          <w:color w:val="000000" w:themeColor="text1"/>
          <w:spacing w:val="6"/>
          <w:sz w:val="32"/>
          <w:szCs w:val="32"/>
          <w14:textFill>
            <w14:solidFill>
              <w14:schemeClr w14:val="tx1"/>
            </w14:solidFill>
          </w14:textFill>
        </w:rPr>
        <w:t>东办〔2019〕54号</w:t>
      </w:r>
      <w:r>
        <w:rPr>
          <w:color w:val="000000" w:themeColor="text1"/>
          <w:spacing w:val="6"/>
          <w:kern w:val="0"/>
          <w:sz w:val="32"/>
          <w:szCs w:val="32"/>
          <w14:textFill>
            <w14:solidFill>
              <w14:schemeClr w14:val="tx1"/>
            </w14:solidFill>
          </w14:textFill>
        </w:rPr>
        <w:t>）</w:t>
      </w:r>
      <w:r>
        <w:rPr>
          <w:color w:val="000000" w:themeColor="text1"/>
          <w:spacing w:val="6"/>
          <w:sz w:val="32"/>
          <w:szCs w:val="32"/>
          <w14:textFill>
            <w14:solidFill>
              <w14:schemeClr w14:val="tx1"/>
            </w14:solidFill>
          </w14:textFill>
        </w:rPr>
        <w:t>同时废止。</w:t>
      </w:r>
    </w:p>
    <w:p>
      <w:pPr>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附件：1</w:t>
      </w:r>
      <w:r>
        <w:rPr>
          <w:rFonts w:hint="default"/>
          <w:color w:val="000000" w:themeColor="text1"/>
          <w:spacing w:val="6"/>
          <w:kern w:val="0"/>
          <w:sz w:val="32"/>
          <w:szCs w:val="32"/>
          <w:lang w:val="en-US"/>
          <w14:textFill>
            <w14:solidFill>
              <w14:schemeClr w14:val="tx1"/>
            </w14:solidFill>
          </w14:textFill>
        </w:rPr>
        <w:t>、</w:t>
      </w:r>
      <w:r>
        <w:rPr>
          <w:color w:val="000000" w:themeColor="text1"/>
          <w:spacing w:val="6"/>
          <w:kern w:val="0"/>
          <w:sz w:val="32"/>
          <w:szCs w:val="32"/>
          <w14:textFill>
            <w14:solidFill>
              <w14:schemeClr w14:val="tx1"/>
            </w14:solidFill>
          </w14:textFill>
        </w:rPr>
        <w:t>《东区街道总部企业认定办法》</w:t>
      </w:r>
    </w:p>
    <w:p>
      <w:pPr>
        <w:adjustRightInd w:val="0"/>
        <w:snapToGrid w:val="0"/>
        <w:spacing w:line="336" w:lineRule="auto"/>
        <w:ind w:left="600" w:leftChars="200"/>
        <w:rPr>
          <w:color w:val="000000" w:themeColor="text1"/>
          <w:spacing w:val="6"/>
          <w:sz w:val="32"/>
          <w:szCs w:val="32"/>
          <w14:textFill>
            <w14:solidFill>
              <w14:schemeClr w14:val="tx1"/>
            </w14:solidFill>
          </w14:textFill>
        </w:rPr>
      </w:pPr>
      <w:bookmarkStart w:id="1" w:name="_GoBack"/>
      <w:bookmarkEnd w:id="1"/>
      <w:r>
        <w:rPr>
          <w:color w:val="000000" w:themeColor="text1"/>
          <w:spacing w:val="6"/>
          <w:kern w:val="0"/>
          <w:sz w:val="32"/>
          <w:szCs w:val="32"/>
          <w14:textFill>
            <w14:solidFill>
              <w14:schemeClr w14:val="tx1"/>
            </w14:solidFill>
          </w14:textFill>
        </w:rPr>
        <w:t>2</w:t>
      </w:r>
      <w:r>
        <w:rPr>
          <w:rFonts w:hint="default"/>
          <w:color w:val="000000" w:themeColor="text1"/>
          <w:spacing w:val="6"/>
          <w:kern w:val="0"/>
          <w:sz w:val="32"/>
          <w:szCs w:val="32"/>
          <w:lang w:val="en-US"/>
          <w14:textFill>
            <w14:solidFill>
              <w14:schemeClr w14:val="tx1"/>
            </w14:solidFill>
          </w14:textFill>
        </w:rPr>
        <w:t>、</w:t>
      </w:r>
      <w:r>
        <w:rPr>
          <w:color w:val="000000" w:themeColor="text1"/>
          <w:spacing w:val="6"/>
          <w:sz w:val="32"/>
          <w:szCs w:val="32"/>
          <w14:textFill>
            <w14:solidFill>
              <w14:schemeClr w14:val="tx1"/>
            </w14:solidFill>
          </w14:textFill>
        </w:rPr>
        <w:t>《中山市关于进一步帮扶小微服务业企业做大做强的实施意见》</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sz w:val="32"/>
          <w:szCs w:val="32"/>
          <w14:textFill>
            <w14:solidFill>
              <w14:schemeClr w14:val="tx1"/>
            </w14:solidFill>
          </w14:textFill>
        </w:rPr>
        <w:t>3</w:t>
      </w:r>
      <w:r>
        <w:rPr>
          <w:rFonts w:hint="default"/>
          <w:color w:val="000000" w:themeColor="text1"/>
          <w:spacing w:val="6"/>
          <w:sz w:val="32"/>
          <w:szCs w:val="32"/>
          <w:lang w:val="en-US"/>
          <w14:textFill>
            <w14:solidFill>
              <w14:schemeClr w14:val="tx1"/>
            </w14:solidFill>
          </w14:textFill>
        </w:rPr>
        <w:t>、</w:t>
      </w:r>
      <w:r>
        <w:rPr>
          <w:color w:val="000000" w:themeColor="text1"/>
          <w:spacing w:val="6"/>
          <w:kern w:val="0"/>
          <w:sz w:val="32"/>
          <w:szCs w:val="32"/>
          <w14:textFill>
            <w14:solidFill>
              <w14:schemeClr w14:val="tx1"/>
            </w14:solidFill>
          </w14:textFill>
        </w:rPr>
        <w:t>《东区街道</w:t>
      </w:r>
      <w:r>
        <w:rPr>
          <w:color w:val="000000" w:themeColor="text1"/>
          <w:spacing w:val="6"/>
          <w:sz w:val="32"/>
          <w:szCs w:val="32"/>
          <w14:textFill>
            <w14:solidFill>
              <w14:schemeClr w14:val="tx1"/>
            </w14:solidFill>
          </w14:textFill>
        </w:rPr>
        <w:t>服务业企业培育库入库标准</w:t>
      </w:r>
      <w:r>
        <w:rPr>
          <w:color w:val="000000" w:themeColor="text1"/>
          <w:spacing w:val="6"/>
          <w:kern w:val="0"/>
          <w:sz w:val="32"/>
          <w:szCs w:val="32"/>
          <w14:textFill>
            <w14:solidFill>
              <w14:schemeClr w14:val="tx1"/>
            </w14:solidFill>
          </w14:textFill>
        </w:rPr>
        <w:t>》</w:t>
      </w:r>
    </w:p>
    <w:p>
      <w:pPr>
        <w:adjustRightInd w:val="0"/>
        <w:snapToGrid w:val="0"/>
        <w:spacing w:line="336" w:lineRule="auto"/>
        <w:ind w:firstLine="664" w:firstLineChars="200"/>
        <w:rPr>
          <w:color w:val="000000" w:themeColor="text1"/>
          <w:spacing w:val="6"/>
          <w:kern w:val="0"/>
          <w:sz w:val="32"/>
          <w:szCs w:val="32"/>
          <w14:textFill>
            <w14:solidFill>
              <w14:schemeClr w14:val="tx1"/>
            </w14:solidFill>
          </w14:textFill>
        </w:rPr>
      </w:pPr>
      <w:r>
        <w:rPr>
          <w:color w:val="000000" w:themeColor="text1"/>
          <w:spacing w:val="6"/>
          <w:kern w:val="0"/>
          <w:sz w:val="32"/>
          <w:szCs w:val="32"/>
          <w14:textFill>
            <w14:solidFill>
              <w14:schemeClr w14:val="tx1"/>
            </w14:solidFill>
          </w14:textFill>
        </w:rPr>
        <w:t>4</w:t>
      </w:r>
      <w:r>
        <w:rPr>
          <w:rFonts w:hint="default"/>
          <w:color w:val="000000" w:themeColor="text1"/>
          <w:spacing w:val="6"/>
          <w:kern w:val="0"/>
          <w:sz w:val="32"/>
          <w:szCs w:val="32"/>
          <w:lang w:val="en-US"/>
          <w14:textFill>
            <w14:solidFill>
              <w14:schemeClr w14:val="tx1"/>
            </w14:solidFill>
          </w14:textFill>
        </w:rPr>
        <w:t>、</w:t>
      </w:r>
      <w:r>
        <w:rPr>
          <w:color w:val="000000" w:themeColor="text1"/>
          <w:spacing w:val="6"/>
          <w:kern w:val="0"/>
          <w:sz w:val="32"/>
          <w:szCs w:val="32"/>
          <w14:textFill>
            <w14:solidFill>
              <w14:schemeClr w14:val="tx1"/>
            </w14:solidFill>
          </w14:textFill>
        </w:rPr>
        <w:t>《东区街道企业统计人员补助办法》</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F3BD4"/>
    <w:rsid w:val="000C00B8"/>
    <w:rsid w:val="000E2FE8"/>
    <w:rsid w:val="001C28E9"/>
    <w:rsid w:val="00213821"/>
    <w:rsid w:val="00221049"/>
    <w:rsid w:val="003000EC"/>
    <w:rsid w:val="00364F2D"/>
    <w:rsid w:val="00373A48"/>
    <w:rsid w:val="00396F8A"/>
    <w:rsid w:val="003B79A6"/>
    <w:rsid w:val="00477B58"/>
    <w:rsid w:val="004A4CF9"/>
    <w:rsid w:val="00522FF7"/>
    <w:rsid w:val="00533691"/>
    <w:rsid w:val="00562B6C"/>
    <w:rsid w:val="005802FD"/>
    <w:rsid w:val="005A28CB"/>
    <w:rsid w:val="005C0F36"/>
    <w:rsid w:val="005D71A0"/>
    <w:rsid w:val="00733D22"/>
    <w:rsid w:val="00753DD0"/>
    <w:rsid w:val="00783B01"/>
    <w:rsid w:val="008079AB"/>
    <w:rsid w:val="00873F48"/>
    <w:rsid w:val="008E40AC"/>
    <w:rsid w:val="00945CB3"/>
    <w:rsid w:val="009F5512"/>
    <w:rsid w:val="00A7742A"/>
    <w:rsid w:val="00C26799"/>
    <w:rsid w:val="00C95999"/>
    <w:rsid w:val="00CA3796"/>
    <w:rsid w:val="00D21226"/>
    <w:rsid w:val="00E13B84"/>
    <w:rsid w:val="00E20C71"/>
    <w:rsid w:val="00F30E7D"/>
    <w:rsid w:val="00F777D1"/>
    <w:rsid w:val="00F87E84"/>
    <w:rsid w:val="02E17888"/>
    <w:rsid w:val="030F3BD4"/>
    <w:rsid w:val="03410B7A"/>
    <w:rsid w:val="07E4251B"/>
    <w:rsid w:val="08B77697"/>
    <w:rsid w:val="0AC226AF"/>
    <w:rsid w:val="0CF6141E"/>
    <w:rsid w:val="103B77B2"/>
    <w:rsid w:val="1B7E7A3B"/>
    <w:rsid w:val="1CE25BB5"/>
    <w:rsid w:val="200F1414"/>
    <w:rsid w:val="213B504E"/>
    <w:rsid w:val="245C4546"/>
    <w:rsid w:val="30FF4CA0"/>
    <w:rsid w:val="359035D1"/>
    <w:rsid w:val="38A924AF"/>
    <w:rsid w:val="3D5B7B9C"/>
    <w:rsid w:val="3E1422A4"/>
    <w:rsid w:val="3F843409"/>
    <w:rsid w:val="3FB6717F"/>
    <w:rsid w:val="415F6FFB"/>
    <w:rsid w:val="44F77B55"/>
    <w:rsid w:val="47926830"/>
    <w:rsid w:val="4802613E"/>
    <w:rsid w:val="49B643EC"/>
    <w:rsid w:val="4AD328A1"/>
    <w:rsid w:val="4C46479C"/>
    <w:rsid w:val="512D110A"/>
    <w:rsid w:val="535E77AA"/>
    <w:rsid w:val="6146697B"/>
    <w:rsid w:val="63C227C3"/>
    <w:rsid w:val="65A1752F"/>
    <w:rsid w:val="66A61D70"/>
    <w:rsid w:val="72A37853"/>
    <w:rsid w:val="7BB06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31"/>
    <w:basedOn w:val="6"/>
    <w:qFormat/>
    <w:uiPriority w:val="0"/>
    <w:rPr>
      <w:rFonts w:hint="eastAsia" w:ascii="宋体" w:hAnsi="宋体" w:eastAsia="宋体" w:cs="宋体"/>
      <w:color w:val="000000"/>
      <w:sz w:val="22"/>
      <w:szCs w:val="22"/>
      <w:u w:val="none"/>
    </w:rPr>
  </w:style>
  <w:style w:type="paragraph" w:customStyle="1" w:styleId="11">
    <w:name w:val="Table Paragraph"/>
    <w:basedOn w:val="1"/>
    <w:qFormat/>
    <w:uiPriority w:val="1"/>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character" w:customStyle="1" w:styleId="13">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14</Pages>
  <Words>1189</Words>
  <Characters>6782</Characters>
  <Lines>56</Lines>
  <Paragraphs>15</Paragraphs>
  <TotalTime>10</TotalTime>
  <ScaleCrop>false</ScaleCrop>
  <LinksUpToDate>false</LinksUpToDate>
  <CharactersWithSpaces>7956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2021-09-06T07:53:00Z</dcterms:created>
  <dc:creator>Administrator</dc:creator>
  <cp:lastModifiedBy>梁培芳</cp:lastModifiedBy>
  <cp:lastPrinted>2021-09-28T00:40:00Z</cp:lastPrinted>
  <dcterms:modified xsi:type="dcterms:W3CDTF">2022-06-24T03:41:21Z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6B62A7871B9540289C8D0541B021F4C4</vt:lpwstr>
  </property>
  <property fmtid="{D5CDD505-2E9C-101B-9397-08002B2CF9AE}" pid="4" name="ribbonExt">
    <vt:lpwstr>{"WPSExtOfficeTab":{"OnGetEnabled":false,"OnGetVisible":false}}</vt:lpwstr>
  </property>
</Properties>
</file>