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w:t>
      </w:r>
      <w:r>
        <w:rPr>
          <w:rFonts w:hint="eastAsia"/>
          <w:lang w:val="en-US" w:eastAsia="zh-CN"/>
        </w:rPr>
        <w:t>162</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名称：香港实佳投资有限公司驻中山办事处</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企业注册号：企外粤中驻字第2</w:t>
      </w:r>
      <w:r>
        <w:rPr>
          <w:rFonts w:hint="eastAsia" w:ascii="仿宋_GB2312" w:hAnsi="仿宋_GB2312" w:cs="仿宋_GB2312"/>
          <w:szCs w:val="32"/>
          <w:lang w:val="en-US" w:eastAsia="zh-CN"/>
        </w:rPr>
        <w:t>****</w:t>
      </w:r>
      <w:r>
        <w:rPr>
          <w:rFonts w:hint="eastAsia" w:ascii="仿宋_GB2312" w:hAnsi="仿宋_GB2312" w:eastAsia="仿宋_GB2312" w:cs="仿宋_GB2312"/>
          <w:szCs w:val="32"/>
          <w:lang w:val="en-US" w:eastAsia="zh-CN"/>
        </w:rPr>
        <w:t>0号</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w:t>
      </w:r>
      <w:r>
        <w:rPr>
          <w:rFonts w:hint="eastAsia" w:ascii="仿宋_GB2312" w:hAnsi="仿宋_GB2312" w:eastAsia="仿宋_GB2312" w:cs="仿宋_GB2312"/>
          <w:szCs w:val="32"/>
          <w:lang w:eastAsia="zh-CN"/>
        </w:rPr>
        <w:t>薛亚雄</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r>
        <w:rPr>
          <w:rFonts w:hint="eastAsia" w:ascii="仿宋_GB2312"/>
          <w:szCs w:val="32"/>
          <w:lang w:eastAsia="zh-CN"/>
        </w:rPr>
        <w:t>住所：</w:t>
      </w:r>
      <w:r>
        <w:rPr>
          <w:rFonts w:hint="eastAsia" w:ascii="仿宋_GB2312" w:hAnsi="仿宋_GB2312" w:eastAsia="仿宋_GB2312" w:cs="仿宋_GB2312"/>
          <w:szCs w:val="32"/>
          <w:lang w:eastAsia="zh-CN"/>
        </w:rPr>
        <w:t>广东省中山市石岐安栏路１７号</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w:t>
      </w:r>
      <w:r>
        <w:rPr>
          <w:rFonts w:hint="eastAsia" w:ascii="Times New Roman" w:hAnsi="Times New Roman" w:cs="仿宋_GB2312"/>
          <w:b w:val="0"/>
          <w:bCs w:val="0"/>
          <w:sz w:val="32"/>
          <w:szCs w:val="24"/>
          <w:highlight w:val="none"/>
          <w:lang w:val="en-US" w:eastAsia="zh-CN"/>
        </w:rPr>
        <w:t>13</w:t>
      </w:r>
      <w:r>
        <w:rPr>
          <w:rFonts w:hint="eastAsia" w:ascii="Times New Roman" w:hAnsi="Times New Roman" w:eastAsia="仿宋_GB2312" w:cs="仿宋_GB2312"/>
          <w:b w:val="0"/>
          <w:bCs w:val="0"/>
          <w:sz w:val="32"/>
          <w:szCs w:val="24"/>
          <w:highlight w:val="none"/>
          <w:lang w:val="en-US" w:eastAsia="zh-CN"/>
        </w:rPr>
        <w:t>日</w:t>
      </w:r>
      <w:r>
        <w:rPr>
          <w:rFonts w:hint="eastAsia" w:ascii="Times New Roman" w:hAnsi="Times New Roman" w:eastAsia="仿宋_GB2312" w:cs="仿宋_GB2312"/>
          <w:sz w:val="32"/>
          <w:szCs w:val="24"/>
          <w:lang w:val="en-US" w:eastAsia="zh-CN"/>
        </w:rPr>
        <w:t>对</w:t>
      </w:r>
      <w:r>
        <w:rPr>
          <w:rFonts w:hint="eastAsia" w:ascii="仿宋_GB2312" w:hAnsi="仿宋_GB2312" w:eastAsia="仿宋_GB2312" w:cs="仿宋_GB2312"/>
          <w:szCs w:val="32"/>
          <w:lang w:eastAsia="zh-CN"/>
        </w:rPr>
        <w:t>香港实佳投资有限公司驻中山办事处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 60 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w:t>
      </w:r>
      <w:r>
        <w:rPr>
          <w:rFonts w:hint="eastAsia" w:ascii="Times New Roman" w:hAnsi="Times New Roman" w:eastAsia="仿宋_GB2312" w:cs="仿宋_GB2312"/>
          <w:sz w:val="32"/>
          <w:szCs w:val="24"/>
          <w:highlight w:val="none"/>
          <w:lang w:val="en-US" w:eastAsia="zh-CN"/>
        </w:rPr>
        <w:t>{中市监（信用）责字〔2021〕0</w:t>
      </w:r>
      <w:r>
        <w:rPr>
          <w:rFonts w:hint="eastAsia" w:ascii="Times New Roman" w:hAnsi="Times New Roman" w:cs="仿宋_GB2312"/>
          <w:sz w:val="32"/>
          <w:szCs w:val="24"/>
          <w:highlight w:val="none"/>
          <w:lang w:val="en-US" w:eastAsia="zh-CN"/>
        </w:rPr>
        <w:t>23</w:t>
      </w:r>
      <w:r>
        <w:rPr>
          <w:rFonts w:hint="eastAsia" w:ascii="Times New Roman" w:hAnsi="Times New Roman" w:eastAsia="仿宋_GB2312" w:cs="仿宋_GB2312"/>
          <w:sz w:val="32"/>
          <w:szCs w:val="24"/>
          <w:highlight w:val="none"/>
          <w:lang w:val="en-US" w:eastAsia="zh-CN"/>
        </w:rPr>
        <w:t>号}</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吊销外国（地区）企业常驻代表机构登记证（注册号：企外粤中驻字第2000</w:t>
      </w:r>
      <w:r>
        <w:rPr>
          <w:rFonts w:hint="eastAsia" w:ascii="Times New Roman" w:hAnsi="Times New Roman" w:cs="仿宋_GB2312"/>
          <w:sz w:val="32"/>
          <w:szCs w:val="24"/>
          <w:lang w:val="en-US" w:eastAsia="zh-CN"/>
        </w:rPr>
        <w:t>20</w:t>
      </w:r>
      <w:r>
        <w:rPr>
          <w:rFonts w:hint="eastAsia" w:ascii="Times New Roman" w:hAnsi="Times New Roman" w:eastAsia="仿宋_GB2312" w:cs="仿宋_GB2312"/>
          <w:sz w:val="32"/>
          <w:szCs w:val="24"/>
          <w:lang w:val="en-US" w:eastAsia="zh-CN"/>
        </w:rPr>
        <w:t>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中山市石岐区民科西路2号310室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right="800" w:rightChars="250" w:firstLine="0" w:firstLineChars="0"/>
        <w:jc w:val="right"/>
        <w:textAlignment w:val="auto"/>
        <w:rPr>
          <w:color w:val="auto"/>
        </w:rPr>
      </w:pPr>
      <w:r>
        <w:rPr>
          <w:rFonts w:hint="eastAsia"/>
          <w:color w:val="auto"/>
        </w:rPr>
        <w:t>（印章）</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bookmarkStart w:id="0" w:name="_GoBack"/>
      <w:bookmarkEnd w:id="0"/>
      <w:r>
        <w:rPr>
          <w:color w:val="auto"/>
        </w:rPr>
        <w:t>日</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75233F0"/>
    <w:rsid w:val="080A2A09"/>
    <w:rsid w:val="0AD606D3"/>
    <w:rsid w:val="0DDA4E9D"/>
    <w:rsid w:val="0DE0170A"/>
    <w:rsid w:val="0F8D673B"/>
    <w:rsid w:val="190917EC"/>
    <w:rsid w:val="197B14DF"/>
    <w:rsid w:val="1B14581B"/>
    <w:rsid w:val="20BE6161"/>
    <w:rsid w:val="20C97673"/>
    <w:rsid w:val="217267F7"/>
    <w:rsid w:val="24325ED4"/>
    <w:rsid w:val="270827B8"/>
    <w:rsid w:val="275A1325"/>
    <w:rsid w:val="28052EE7"/>
    <w:rsid w:val="2C1A2D0F"/>
    <w:rsid w:val="38A231E5"/>
    <w:rsid w:val="3AE329B4"/>
    <w:rsid w:val="40642126"/>
    <w:rsid w:val="53600474"/>
    <w:rsid w:val="575604AD"/>
    <w:rsid w:val="57A5643A"/>
    <w:rsid w:val="5E6D7804"/>
    <w:rsid w:val="5FDD7197"/>
    <w:rsid w:val="62CD0B6C"/>
    <w:rsid w:val="68E327CE"/>
    <w:rsid w:val="791C67B1"/>
    <w:rsid w:val="7F68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1512</Words>
  <Characters>1606</Characters>
  <Lines>11</Lines>
  <Paragraphs>3</Paragraphs>
  <TotalTime>0</TotalTime>
  <ScaleCrop>false</ScaleCrop>
  <LinksUpToDate>false</LinksUpToDate>
  <CharactersWithSpaces>1625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2022-07-11T03:46:34Z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B31F722EBC2A4807B83C48C1F0A935C0</vt:lpwstr>
  </property>
</Properties>
</file>