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/>
        <w:adjustRightInd w:val="0"/>
        <w:snapToGrid w:val="0"/>
        <w:spacing w:before="120" w:beforeLines="50" w:beforeAutospacing="0" w:after="0" w:afterAutospacing="0" w:line="520" w:lineRule="exact"/>
        <w:ind w:left="0" w:right="0"/>
        <w:jc w:val="both"/>
        <w:rPr>
          <w:rFonts w:hint="default" w:ascii="Times New Roman" w:hAnsi="Times New Roman" w:eastAsia="黑体" w:cs="Times New Roman"/>
          <w:spacing w:val="-6"/>
          <w:kern w:val="32"/>
          <w:sz w:val="29"/>
          <w:szCs w:val="29"/>
        </w:rPr>
      </w:pPr>
      <w:bookmarkStart w:id="0" w:name="_GoBack"/>
      <w:bookmarkEnd w:id="0"/>
      <w:r>
        <w:rPr>
          <w:rFonts w:hint="eastAsia" w:ascii="黑体" w:hAnsi="宋体" w:eastAsia="黑体" w:cs="黑体"/>
          <w:snapToGrid/>
          <w:spacing w:val="-6"/>
          <w:kern w:val="32"/>
          <w:sz w:val="29"/>
          <w:szCs w:val="29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snapToGrid/>
          <w:spacing w:val="-6"/>
          <w:kern w:val="32"/>
          <w:sz w:val="29"/>
          <w:szCs w:val="29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/>
        <w:adjustRightInd w:val="0"/>
        <w:snapToGrid w:val="0"/>
        <w:spacing w:before="0" w:beforeAutospacing="0" w:after="0" w:afterAutospacing="0" w:line="520" w:lineRule="exact"/>
        <w:ind w:left="0" w:right="0"/>
        <w:jc w:val="center"/>
        <w:rPr>
          <w:rFonts w:hint="eastAsia" w:ascii="仿宋_GB2312" w:eastAsia="仿宋_GB2312" w:cs="仿宋_GB2312"/>
          <w:spacing w:val="-6"/>
          <w:kern w:val="32"/>
          <w:sz w:val="32"/>
          <w:szCs w:val="32"/>
        </w:rPr>
      </w:pPr>
      <w:r>
        <w:rPr>
          <w:rFonts w:hint="default" w:ascii="方正小标宋_GBK" w:hAnsi="方正小标宋_GBK" w:eastAsia="方正小标宋_GBK" w:cs="方正小标宋_GBK"/>
          <w:snapToGrid/>
          <w:spacing w:val="-6"/>
          <w:kern w:val="32"/>
          <w:sz w:val="44"/>
          <w:szCs w:val="44"/>
          <w:lang w:val="en-US" w:eastAsia="zh-CN" w:bidi="ar"/>
        </w:rPr>
        <w:t>中山市市级示范家庭农场评分表</w:t>
      </w:r>
    </w:p>
    <w:p>
      <w:pPr>
        <w:keepNext w:val="0"/>
        <w:keepLines w:val="0"/>
        <w:widowControl w:val="0"/>
        <w:suppressLineNumbers/>
        <w:adjustRightInd w:val="0"/>
        <w:snapToGrid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eastAsia="仿宋_GB2312" w:cs="仿宋_GB2312"/>
          <w:spacing w:val="-6"/>
          <w:kern w:val="32"/>
          <w:sz w:val="21"/>
          <w:szCs w:val="21"/>
          <w:u w:val="single"/>
        </w:rPr>
      </w:pPr>
      <w:r>
        <w:rPr>
          <w:rFonts w:hint="eastAsia" w:ascii="仿宋_GB2312" w:hAnsi="Times New Roman" w:eastAsia="仿宋_GB2312" w:cs="仿宋_GB2312"/>
          <w:snapToGrid/>
          <w:spacing w:val="-6"/>
          <w:kern w:val="32"/>
          <w:sz w:val="21"/>
          <w:szCs w:val="21"/>
          <w:lang w:val="en-US" w:eastAsia="zh-CN" w:bidi="ar"/>
        </w:rPr>
        <w:t>家庭农场名称（盖章）：</w:t>
      </w:r>
      <w:r>
        <w:rPr>
          <w:rFonts w:hint="eastAsia" w:ascii="仿宋_GB2312" w:hAnsi="Times New Roman" w:eastAsia="仿宋_GB2312" w:cs="仿宋_GB2312"/>
          <w:snapToGrid/>
          <w:spacing w:val="-6"/>
          <w:kern w:val="32"/>
          <w:sz w:val="21"/>
          <w:szCs w:val="21"/>
          <w:u w:val="single"/>
          <w:lang w:val="en-US" w:eastAsia="zh-CN" w:bidi="ar"/>
        </w:rPr>
        <w:t xml:space="preserve">                                          </w:t>
      </w:r>
      <w:r>
        <w:rPr>
          <w:rFonts w:hint="eastAsia" w:ascii="仿宋_GB2312" w:hAnsi="Times New Roman" w:eastAsia="仿宋_GB2312" w:cs="仿宋_GB2312"/>
          <w:snapToGrid/>
          <w:spacing w:val="-6"/>
          <w:kern w:val="32"/>
          <w:sz w:val="21"/>
          <w:szCs w:val="21"/>
          <w:lang w:val="en-US" w:eastAsia="zh-CN" w:bidi="ar"/>
        </w:rPr>
        <w:t xml:space="preserve">    所属镇街（盖章）： </w:t>
      </w:r>
      <w:r>
        <w:rPr>
          <w:rFonts w:hint="eastAsia" w:ascii="仿宋_GB2312" w:hAnsi="Times New Roman" w:eastAsia="仿宋_GB2312" w:cs="仿宋_GB2312"/>
          <w:snapToGrid/>
          <w:spacing w:val="-6"/>
          <w:kern w:val="32"/>
          <w:sz w:val="21"/>
          <w:szCs w:val="21"/>
          <w:u w:val="single"/>
          <w:lang w:val="en-US" w:eastAsia="zh-CN" w:bidi="ar"/>
        </w:rPr>
        <w:t xml:space="preserve">                     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191"/>
        <w:gridCol w:w="8237"/>
        <w:gridCol w:w="839"/>
        <w:gridCol w:w="783"/>
        <w:gridCol w:w="785"/>
        <w:gridCol w:w="783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2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评分标准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农场  自评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镇街  初评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市级  考评</w:t>
            </w: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家庭经营</w:t>
            </w:r>
          </w:p>
        </w:tc>
        <w:tc>
          <w:tcPr>
            <w:tcW w:w="2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 w:firstLine="396" w:firstLineChars="20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在我市行政区域内登记注册满1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年以上的市场主体，农业生产经营活动以家庭成员为基础，常年雇工人数原则上不超过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人（短期雇工不作限制）。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人员稳定</w:t>
            </w:r>
          </w:p>
        </w:tc>
        <w:tc>
          <w:tcPr>
            <w:tcW w:w="2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 w:firstLine="396" w:firstLineChars="20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家庭农场经营者长期、稳定、直接从事农业生产经营，具备一定的农业生产技能。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设施完善</w:t>
            </w:r>
          </w:p>
        </w:tc>
        <w:tc>
          <w:tcPr>
            <w:tcW w:w="2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 w:firstLine="396" w:firstLineChars="20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有与生产经营相适应的场房场地、办公设施设备、农田基础设施和附属生产配套设施，有必要的农业机械。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管理规范</w:t>
            </w:r>
          </w:p>
        </w:tc>
        <w:tc>
          <w:tcPr>
            <w:tcW w:w="2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 w:firstLine="396" w:firstLineChars="20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能按技术规程或相关标准进行生产，生产、经营、财务收支等记录规范完整。生产食用农产品的家庭农场已实施追溯管理。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效益明显</w:t>
            </w:r>
          </w:p>
        </w:tc>
        <w:tc>
          <w:tcPr>
            <w:tcW w:w="2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 w:firstLine="396" w:firstLineChars="20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农场收益是家庭收入的主要来源，家庭成员人均纯收入达到或高于当地农村居民人均可支配收入。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规模适度</w:t>
            </w:r>
          </w:p>
        </w:tc>
        <w:tc>
          <w:tcPr>
            <w:tcW w:w="2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 w:firstLine="396" w:firstLineChars="20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经营规模达到一定标准，经营状态稳定，经营土地的流转年限原则上不少于5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年，并签订规范的流转合同。经营规模标准分别为：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从事粮食作物生产为主的，土地经营面积达到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亩以上；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从事水果生产为主的，土地经营面积达到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亩以上；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从事蔬菜生产为主的，土地经营面积达到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亩以上；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从事花卉苗木生产为主的，土地经营面积达到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亩以上；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从事畜禽养殖为主的，肉畜年出栏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头以上，肉禽年出栏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羽以上，种禽或蛋禽年存栏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5000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羽以上；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从事水产养殖为主的，经营鱼塘面积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亩以上；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7.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从事特色种养、农业服务、休闲农业等其他经营模式的，年收入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万元以上。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Lines="25" w:beforeAutospacing="0" w:after="60" w:afterLines="25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556" w:firstLineChars="200"/>
        <w:jc w:val="both"/>
        <w:rPr>
          <w:rFonts w:hint="eastAsia" w:ascii="仿宋_GB2312" w:eastAsia="仿宋_GB2312" w:cs="仿宋_GB2312"/>
          <w:spacing w:val="-6"/>
          <w:kern w:val="32"/>
          <w:sz w:val="29"/>
          <w:szCs w:val="29"/>
        </w:rPr>
      </w:pPr>
      <w:r>
        <w:rPr>
          <w:rFonts w:hint="eastAsia" w:ascii="仿宋_GB2312" w:hAnsi="Times New Roman" w:eastAsia="仿宋_GB2312" w:cs="仿宋_GB2312"/>
          <w:snapToGrid/>
          <w:spacing w:val="-6"/>
          <w:kern w:val="32"/>
          <w:sz w:val="29"/>
          <w:szCs w:val="29"/>
          <w:lang w:val="en-US" w:eastAsia="zh-CN" w:bidi="ar"/>
        </w:rPr>
        <w:t xml:space="preserve">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227"/>
        <w:gridCol w:w="7861"/>
        <w:gridCol w:w="961"/>
        <w:gridCol w:w="856"/>
        <w:gridCol w:w="856"/>
        <w:gridCol w:w="85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2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评分标准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农场  自评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镇街  初评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市级  考评</w:t>
            </w: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品牌建设</w:t>
            </w:r>
          </w:p>
        </w:tc>
        <w:tc>
          <w:tcPr>
            <w:tcW w:w="2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Autospacing="0" w:after="60" w:afterAutospacing="0" w:line="300" w:lineRule="exact"/>
              <w:ind w:left="0" w:right="0" w:firstLine="396" w:firstLineChars="20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生产的农产品获得绿色食品、有机农产品、无公害农产品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农产品地理标志认证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已自行注册商标或经授权许可使用商标。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科技应用</w:t>
            </w:r>
          </w:p>
        </w:tc>
        <w:tc>
          <w:tcPr>
            <w:tcW w:w="2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Autospacing="0" w:after="60" w:afterAutospacing="0" w:line="300" w:lineRule="exact"/>
              <w:ind w:left="0" w:right="0" w:firstLine="396" w:firstLineChars="20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与农业大专院校、科研院所建立稳定合作关系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Autospacing="0" w:after="60" w:afterAutospacing="0" w:line="300" w:lineRule="exact"/>
              <w:ind w:left="0" w:right="0" w:firstLine="396" w:firstLineChars="20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农场被评为农业示范基地、科技示范户、农业科普教育实践基地，应用主导品种或主推技术的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示范带动</w:t>
            </w:r>
          </w:p>
        </w:tc>
        <w:tc>
          <w:tcPr>
            <w:tcW w:w="2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Autospacing="0" w:after="60" w:afterAutospacing="0" w:line="300" w:lineRule="exact"/>
              <w:ind w:left="0" w:right="0" w:firstLine="396" w:firstLineChars="20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经营者为返乡入乡农民工、大学生、退伍军人和农村妇女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Autospacing="0" w:after="60" w:afterAutospacing="0" w:line="300" w:lineRule="exact"/>
              <w:ind w:left="0" w:right="0" w:firstLine="396" w:firstLineChars="20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向农户和新型农业经营主体提供农业社会化服务的，或与农业社会化服务组织签订服务合同、接受社会化服务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Autospacing="0" w:after="60" w:afterAutospacing="0" w:line="300" w:lineRule="exact"/>
              <w:ind w:left="0" w:right="0" w:firstLine="396" w:firstLineChars="20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领办或加入农民合作社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能力提升</w:t>
            </w:r>
          </w:p>
        </w:tc>
        <w:tc>
          <w:tcPr>
            <w:tcW w:w="2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Autospacing="0" w:after="60" w:afterAutospacing="0" w:line="300" w:lineRule="exact"/>
              <w:ind w:left="0" w:right="0" w:firstLine="396" w:firstLineChars="20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建有财务、生产等有关管理制度。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Autospacing="0" w:after="60" w:afterAutospacing="0" w:line="300" w:lineRule="exact"/>
              <w:ind w:left="0" w:right="0" w:firstLine="396" w:firstLineChars="20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已购买农业保险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Autospacing="0" w:after="60" w:afterAutospacing="0" w:line="300" w:lineRule="exact"/>
              <w:ind w:left="0" w:right="0" w:firstLine="396" w:firstLineChars="20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为镇级示范家庭农场。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Autospacing="0" w:after="60" w:afterAutospacing="0" w:line="300" w:lineRule="exact"/>
              <w:ind w:left="0" w:right="0" w:firstLine="396" w:firstLineChars="20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家庭农场从业人员积极参加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省、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镇各类培训班的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Autospacing="0" w:after="60" w:afterAutospacing="0" w:line="300" w:lineRule="exact"/>
              <w:ind w:left="0" w:right="0" w:firstLine="396" w:firstLineChars="20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基础配套设施较好，有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家庭农场标牌、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科普宣传栏、农作物标识牌等设施的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Autospacing="0" w:after="60" w:afterAutospacing="0" w:line="300" w:lineRule="exact"/>
              <w:ind w:left="0" w:right="0" w:firstLine="396" w:firstLineChars="20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与超市、配送中心、企业、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农民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合作社等通过订单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建立联结关系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的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60" w:beforeAutospacing="0" w:after="60" w:afterAutospacing="0" w:line="300" w:lineRule="exact"/>
              <w:ind w:left="0" w:right="0" w:firstLine="396" w:firstLineChars="20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家庭农场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经营者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或其农产品获得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级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相关荣誉的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综合得分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1. 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总分为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分，综合得分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分及以上的列入候选名单。                       </w:t>
            </w: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00" w:lineRule="exact"/>
              <w:ind w:left="0" w:right="0" w:firstLine="594" w:firstLineChars="300"/>
              <w:jc w:val="left"/>
              <w:rPr>
                <w:rFonts w:hint="eastAsia" w:ascii="仿宋_GB2312" w:eastAsia="仿宋_GB2312" w:cs="仿宋_GB2312"/>
                <w:spacing w:val="-6"/>
                <w:kern w:val="3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2. 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指标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1-6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项，需满足评分标准全部内容方可得指标分值满分；指标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7-10</w:t>
            </w:r>
            <w:r>
              <w:rPr>
                <w:rFonts w:hint="eastAsia" w:ascii="仿宋_GB2312" w:hAnsi="Times New Roman" w:eastAsia="仿宋_GB2312" w:cs="仿宋_GB2312"/>
                <w:snapToGrid/>
                <w:spacing w:val="-6"/>
                <w:kern w:val="32"/>
                <w:sz w:val="21"/>
                <w:szCs w:val="21"/>
                <w:bdr w:val="none" w:color="auto" w:sz="0" w:space="0"/>
                <w:lang w:val="en-US" w:eastAsia="zh-CN" w:bidi="ar"/>
              </w:rPr>
              <w:t>项的每一小点中，满足评分标准部分内容即可得指标分值满分。</w:t>
            </w:r>
          </w:p>
        </w:tc>
      </w:tr>
    </w:tbl>
    <w:p/>
    <w:sectPr>
      <w:pgSz w:w="16838" w:h="11906" w:orient="landscape"/>
      <w:pgMar w:top="9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F6"/>
    <w:rsid w:val="008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2022-07-15T02:53:00Z</dcterms:created>
  <dc:creator>胡辉旺</dc:creator>
  <cp:lastModifiedBy>胡辉旺</cp:lastModifiedBy>
  <dcterms:modified xsi:type="dcterms:W3CDTF">2022-07-15T02:56:39Z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