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lang w:val="en-US" w:eastAsia="zh-CN"/>
        </w:rPr>
      </w:pPr>
      <w:r>
        <w:rPr>
          <w:rFonts w:hint="eastAsia"/>
          <w:b/>
          <w:bCs/>
          <w:sz w:val="52"/>
          <w:szCs w:val="52"/>
          <w:lang w:val="en-US" w:eastAsia="zh-CN"/>
        </w:rPr>
        <w:t>东凤镇西罟步村砂石场承包经营权</w:t>
      </w:r>
    </w:p>
    <w:p>
      <w:pPr>
        <w:jc w:val="center"/>
        <w:rPr>
          <w:rFonts w:hint="eastAsia"/>
          <w:b/>
          <w:bCs/>
          <w:sz w:val="52"/>
          <w:szCs w:val="52"/>
          <w:lang w:val="en-US" w:eastAsia="zh-CN"/>
        </w:rPr>
      </w:pPr>
      <w:r>
        <w:rPr>
          <w:rFonts w:hint="eastAsia"/>
          <w:b/>
          <w:bCs/>
          <w:sz w:val="52"/>
          <w:szCs w:val="52"/>
          <w:lang w:val="en-US" w:eastAsia="zh-CN"/>
        </w:rPr>
        <w:t>采购项目</w:t>
      </w:r>
    </w:p>
    <w:p>
      <w:pPr>
        <w:jc w:val="center"/>
        <w:rPr>
          <w:rFonts w:hint="eastAsia"/>
          <w:sz w:val="44"/>
          <w:szCs w:val="44"/>
          <w:lang w:val="en-US" w:eastAsia="zh-CN"/>
        </w:rPr>
      </w:pPr>
    </w:p>
    <w:p>
      <w:pPr>
        <w:jc w:val="center"/>
        <w:rPr>
          <w:rFonts w:hint="eastAsia"/>
          <w:sz w:val="44"/>
          <w:szCs w:val="44"/>
          <w:lang w:val="en-US" w:eastAsia="zh-CN"/>
        </w:rPr>
      </w:pPr>
    </w:p>
    <w:p>
      <w:pPr>
        <w:jc w:val="center"/>
        <w:rPr>
          <w:rFonts w:hint="eastAsia"/>
          <w:b/>
          <w:bCs/>
          <w:sz w:val="72"/>
          <w:szCs w:val="72"/>
          <w:lang w:val="en-US" w:eastAsia="zh-CN"/>
        </w:rPr>
      </w:pPr>
      <w:r>
        <w:rPr>
          <w:rFonts w:hint="eastAsia"/>
          <w:b/>
          <w:bCs/>
          <w:sz w:val="72"/>
          <w:szCs w:val="72"/>
          <w:lang w:val="en-US" w:eastAsia="zh-CN"/>
        </w:rPr>
        <w:t>合</w:t>
      </w:r>
      <w:bookmarkStart w:id="0" w:name="_GoBack"/>
      <w:bookmarkEnd w:id="0"/>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同</w:t>
      </w:r>
    </w:p>
    <w:p>
      <w:pPr>
        <w:jc w:val="both"/>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书</w:t>
      </w:r>
    </w:p>
    <w:p>
      <w:pPr>
        <w:jc w:val="both"/>
        <w:rPr>
          <w:rFonts w:hint="eastAsia"/>
          <w:b/>
          <w:bCs/>
          <w:sz w:val="72"/>
          <w:szCs w:val="72"/>
          <w:lang w:val="en-US" w:eastAsia="zh-CN"/>
        </w:rPr>
      </w:pPr>
    </w:p>
    <w:p>
      <w:pPr>
        <w:jc w:val="both"/>
        <w:rPr>
          <w:rFonts w:hint="eastAsia"/>
          <w:sz w:val="72"/>
          <w:szCs w:val="72"/>
          <w:lang w:val="en-US" w:eastAsia="zh-CN"/>
        </w:rPr>
      </w:pPr>
    </w:p>
    <w:p>
      <w:pPr>
        <w:jc w:val="center"/>
        <w:rPr>
          <w:rFonts w:hint="eastAsia"/>
          <w:sz w:val="44"/>
          <w:szCs w:val="44"/>
          <w:lang w:val="en-US" w:eastAsia="zh-CN"/>
        </w:rPr>
      </w:pPr>
    </w:p>
    <w:p>
      <w:pPr>
        <w:jc w:val="both"/>
        <w:rPr>
          <w:rFonts w:hint="eastAsia"/>
          <w:sz w:val="36"/>
          <w:szCs w:val="36"/>
          <w:lang w:val="en-US" w:eastAsia="zh-CN"/>
        </w:rPr>
      </w:pPr>
    </w:p>
    <w:p>
      <w:pPr>
        <w:jc w:val="both"/>
        <w:rPr>
          <w:rFonts w:hint="eastAsia"/>
          <w:sz w:val="36"/>
          <w:szCs w:val="36"/>
          <w:lang w:val="en-US" w:eastAsia="zh-CN"/>
        </w:rPr>
      </w:pPr>
      <w:r>
        <w:rPr>
          <w:rFonts w:hint="eastAsia"/>
          <w:sz w:val="36"/>
          <w:szCs w:val="36"/>
          <w:lang w:val="en-US" w:eastAsia="zh-CN"/>
        </w:rPr>
        <w:t>发包方：中山市东凤镇西罟步村民委员会</w:t>
      </w:r>
    </w:p>
    <w:p>
      <w:pPr>
        <w:jc w:val="both"/>
        <w:rPr>
          <w:rFonts w:hint="eastAsia"/>
          <w:sz w:val="36"/>
          <w:szCs w:val="36"/>
          <w:lang w:val="en-US" w:eastAsia="zh-CN"/>
        </w:rPr>
      </w:pPr>
      <w:r>
        <w:rPr>
          <w:rFonts w:hint="eastAsia"/>
          <w:sz w:val="36"/>
          <w:szCs w:val="36"/>
          <w:lang w:val="en-US" w:eastAsia="zh-CN"/>
        </w:rPr>
        <w:t>承包方：</w:t>
      </w:r>
    </w:p>
    <w:p>
      <w:pPr>
        <w:jc w:val="both"/>
        <w:rPr>
          <w:rFonts w:hint="eastAsia"/>
          <w:sz w:val="36"/>
          <w:szCs w:val="36"/>
          <w:lang w:val="en-US" w:eastAsia="zh-CN"/>
        </w:rPr>
      </w:pPr>
      <w:r>
        <w:rPr>
          <w:rFonts w:hint="eastAsia"/>
          <w:sz w:val="36"/>
          <w:szCs w:val="36"/>
          <w:lang w:val="en-US" w:eastAsia="zh-CN"/>
        </w:rPr>
        <w:t>签订日期：2022年   月   日</w:t>
      </w:r>
    </w:p>
    <w:p>
      <w:pPr>
        <w:ind w:firstLine="640" w:firstLineChars="200"/>
        <w:jc w:val="both"/>
        <w:rPr>
          <w:rFonts w:hint="eastAsia"/>
          <w:sz w:val="32"/>
          <w:szCs w:val="32"/>
          <w:lang w:val="en-US" w:eastAsia="zh-CN"/>
        </w:rPr>
      </w:pPr>
    </w:p>
    <w:p>
      <w:pPr>
        <w:jc w:val="center"/>
        <w:rPr>
          <w:rFonts w:hint="eastAsia"/>
          <w:b/>
          <w:bCs/>
          <w:sz w:val="36"/>
          <w:szCs w:val="36"/>
          <w:lang w:val="en-US" w:eastAsia="zh-CN"/>
        </w:rPr>
      </w:pPr>
      <w:r>
        <w:rPr>
          <w:rFonts w:hint="eastAsia"/>
          <w:b/>
          <w:bCs/>
          <w:sz w:val="36"/>
          <w:szCs w:val="36"/>
          <w:lang w:val="en-US" w:eastAsia="zh-CN"/>
        </w:rPr>
        <w:t>东凤镇西罟步村砂石场承包经营权采购项目</w:t>
      </w:r>
    </w:p>
    <w:p>
      <w:pPr>
        <w:jc w:val="center"/>
        <w:rPr>
          <w:rFonts w:hint="eastAsia"/>
          <w:b/>
          <w:bCs/>
          <w:sz w:val="36"/>
          <w:szCs w:val="36"/>
          <w:lang w:val="en-US" w:eastAsia="zh-CN"/>
        </w:rPr>
      </w:pPr>
      <w:r>
        <w:rPr>
          <w:rFonts w:hint="eastAsia"/>
          <w:b/>
          <w:bCs/>
          <w:sz w:val="36"/>
          <w:szCs w:val="36"/>
          <w:lang w:val="en-US" w:eastAsia="zh-CN"/>
        </w:rPr>
        <w:t>合同书</w:t>
      </w:r>
    </w:p>
    <w:p>
      <w:pPr>
        <w:jc w:val="both"/>
        <w:rPr>
          <w:rFonts w:hint="eastAsia"/>
          <w:sz w:val="30"/>
          <w:szCs w:val="30"/>
          <w:lang w:val="en-US" w:eastAsia="zh-CN"/>
        </w:rPr>
      </w:pPr>
    </w:p>
    <w:p>
      <w:pPr>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发包方：中山市东凤镇西罟步村民委员会  （以下简称甲方）</w:t>
      </w:r>
    </w:p>
    <w:p>
      <w:pPr>
        <w:pStyle w:val="2"/>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承包方：                               （以下简称乙方）</w:t>
      </w:r>
    </w:p>
    <w:p>
      <w:pPr>
        <w:rPr>
          <w:rFonts w:hint="eastAsia" w:ascii="宋体" w:hAnsi="宋体" w:eastAsia="宋体" w:cs="宋体"/>
          <w:sz w:val="30"/>
          <w:szCs w:val="30"/>
          <w:lang w:val="en-US" w:eastAsia="zh-CN"/>
        </w:rPr>
      </w:pP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为进一步强化我村涉堤经营性砂石场的管理，壮大集体经济，促进水利建设和经济建设健康发展，在保障防洪、生态、通航安全的前提下，西罟步村对东凤镇西罟步村砂石场承包经营权对外公开发包。经公开招投标，乙方为本次投标的中标者，甲方将本合同范围内的场地及规定面积给乙方作砂石的堆放及经营场所之用，经双方协商，达成本合同具体条款如下：</w:t>
      </w:r>
    </w:p>
    <w:p>
      <w:pPr>
        <w:numPr>
          <w:ilvl w:val="0"/>
          <w:numId w:val="1"/>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名称：东凤镇西罟步村砂石场承包经营权</w:t>
      </w:r>
    </w:p>
    <w:p>
      <w:pPr>
        <w:numPr>
          <w:ilvl w:val="0"/>
          <w:numId w:val="1"/>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地点及面积：位于中山市东凤镇楼环水闸南侧，使用面积约4613.2平方米（附砂石头范围平面图）。</w:t>
      </w:r>
    </w:p>
    <w:p>
      <w:pPr>
        <w:numPr>
          <w:ilvl w:val="0"/>
          <w:numId w:val="1"/>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使用期限：2023年1月1日至2025年12月31日（共三年）</w:t>
      </w:r>
    </w:p>
    <w:p>
      <w:pPr>
        <w:numPr>
          <w:ilvl w:val="0"/>
          <w:numId w:val="1"/>
        </w:numPr>
        <w:ind w:left="0" w:leftChars="0" w:firstLine="600" w:firstLineChars="200"/>
        <w:jc w:val="both"/>
        <w:rPr>
          <w:rFonts w:hint="eastAsia" w:ascii="宋体" w:hAnsi="宋体" w:eastAsia="宋体" w:cs="宋体"/>
          <w:b w:val="0"/>
          <w:bCs w:val="0"/>
          <w:kern w:val="2"/>
          <w:sz w:val="30"/>
          <w:szCs w:val="30"/>
          <w:lang w:val="en-US" w:eastAsia="zh-CN" w:bidi="ar-SA"/>
        </w:rPr>
      </w:pPr>
      <w:r>
        <w:rPr>
          <w:rFonts w:hint="eastAsia" w:ascii="宋体" w:hAnsi="宋体" w:eastAsia="宋体" w:cs="宋体"/>
          <w:sz w:val="30"/>
          <w:szCs w:val="30"/>
          <w:lang w:val="en-US" w:eastAsia="zh-CN"/>
        </w:rPr>
        <w:t>砂石场经营管理费及支付方式：</w:t>
      </w:r>
    </w:p>
    <w:p>
      <w:pPr>
        <w:numPr>
          <w:numId w:val="0"/>
        </w:numPr>
        <w:ind w:firstLine="600" w:firstLineChars="200"/>
        <w:jc w:val="both"/>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1、砂石场经营管理费：2023年、2024、2025年每年缴交砂石场经营管理费金额为人民币</w:t>
      </w:r>
      <w:r>
        <w:rPr>
          <w:rFonts w:hint="eastAsia" w:ascii="宋体" w:hAnsi="宋体" w:eastAsia="宋体" w:cs="宋体"/>
          <w:b w:val="0"/>
          <w:bCs w:val="0"/>
          <w:kern w:val="2"/>
          <w:sz w:val="30"/>
          <w:szCs w:val="30"/>
          <w:u w:val="single"/>
          <w:lang w:val="en-US" w:eastAsia="zh-CN" w:bidi="ar-SA"/>
        </w:rPr>
        <w:t xml:space="preserve">         </w:t>
      </w:r>
      <w:r>
        <w:rPr>
          <w:rFonts w:hint="eastAsia" w:ascii="宋体" w:hAnsi="宋体" w:eastAsia="宋体" w:cs="宋体"/>
          <w:b w:val="0"/>
          <w:bCs w:val="0"/>
          <w:kern w:val="2"/>
          <w:sz w:val="30"/>
          <w:szCs w:val="30"/>
          <w:u w:val="none"/>
          <w:lang w:val="en-US" w:eastAsia="zh-CN" w:bidi="ar-SA"/>
        </w:rPr>
        <w:t>元（大写：  拾 万  仟  佰元正）。</w:t>
      </w:r>
    </w:p>
    <w:p>
      <w:pPr>
        <w:numPr>
          <w:numId w:val="0"/>
        </w:numPr>
        <w:ind w:leftChars="200" w:firstLine="300" w:firstLineChars="1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2、砂石场经营管理费的支付方式</w:t>
      </w:r>
    </w:p>
    <w:p>
      <w:pPr>
        <w:numPr>
          <w:ilvl w:val="0"/>
          <w:numId w:val="0"/>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东凤镇西罟步村砂石场经营管理费分两期支付，乙方应于每年的1月1日及7月1日前按当年的砂石头经营管理费金额50%支付给甲方。逾期缴交的，乙方应按应付未付金额的月息3.2%向甲方支付滞纳补偿款；逾期一个月缴交的，视作乙方单方违约，甲方有权单方解除合同，没收乙方支付的合同履约保证金。</w:t>
      </w:r>
    </w:p>
    <w:p>
      <w:pPr>
        <w:numPr>
          <w:ilvl w:val="0"/>
          <w:numId w:val="1"/>
        </w:numPr>
        <w:ind w:left="0" w:leftChars="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合同履约保证金</w:t>
      </w:r>
    </w:p>
    <w:p>
      <w:pPr>
        <w:numPr>
          <w:ilvl w:val="0"/>
          <w:numId w:val="2"/>
        </w:num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本合同书经甲乙双方盖章及法定代表人或授权代表签署后，乙方应于当天内向甲方交付履约保证金人民币</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元。</w:t>
      </w:r>
      <w:r>
        <w:rPr>
          <w:rFonts w:hint="eastAsia" w:ascii="宋体" w:hAnsi="宋体" w:eastAsia="宋体" w:cs="宋体"/>
          <w:sz w:val="30"/>
          <w:szCs w:val="30"/>
          <w:lang w:val="en-US" w:eastAsia="zh-CN"/>
        </w:rPr>
        <w:t>本合同保证在承包合同期满且乙方未存在任何违约行为，甲方于完成交接手续后7天内无息退还履约保证金给乙方。如乙方于合同期限内存在违约行为的，甲方有权没收履约保证金，追究乙方相关违约责任。</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六、乙方在砂石场使用期限内须明确的责任</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本项目的场地及规定面积仅限乙方作砂石的堆放及经营场所使用，乙方不得擅自改变原经营内容，不得搭单或挂靠增加经营者，不得将部分或全部场地转让或转使用权给他人。否则，视作乙方违约，甲方有权单位解除合同，没收乙方支付的履约保证金。</w:t>
      </w:r>
    </w:p>
    <w:p>
      <w:pPr>
        <w:pStyle w:val="2"/>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2、在承包期内，该砂石场堆放证的有关手续及费用由乙方负责。</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在承包期内，供水、供电、交通道路、河道水源等基础设施由乙方自费解决，村集体协助办理相关手续。如遇相关部门水、气、电、电信、路网等建设所需时，甲方提前一个月通知乙方，乙方必须无条件按要求让出土地，并不作任何补偿。</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乙方在使用期限所发生的一切债权、债务，经营的成本费用均由乙方负责。工伤、电源、交通道路问题所造成的事故，自然灾害等造成的损失，概由乙方承担责任。乙方必须对经营的砂石场场地及基建设施进行加固、完善及保护。因超高、超重、超范围堆放，造成河岸崩塌，影响堤防安全的，由水利行政主管部门组织强制抢险施工，一切费用及法律责任由乙方承担。</w:t>
      </w:r>
    </w:p>
    <w:p>
      <w:pPr>
        <w:pStyle w:val="4"/>
        <w:keepNext w:val="0"/>
        <w:keepLines w:val="0"/>
        <w:pageBreakBefore w:val="0"/>
        <w:widowControl w:val="0"/>
        <w:kinsoku/>
        <w:wordWrap/>
        <w:overflowPunct/>
        <w:topLinePunct w:val="0"/>
        <w:autoSpaceDE/>
        <w:autoSpaceDN/>
        <w:bidi w:val="0"/>
        <w:adjustRightInd/>
        <w:snapToGrid/>
        <w:spacing w:after="120" w:line="240" w:lineRule="auto"/>
        <w:ind w:right="0" w:rightChars="0" w:firstLine="600" w:firstLineChars="200"/>
        <w:jc w:val="both"/>
        <w:textAlignment w:val="auto"/>
        <w:outlineLvl w:val="9"/>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5、乙方在使用期内有关砂石场的经营许可证、营业执照、因租赁所产生的税费、卫生、道路清洁等一切费用，均由乙方负责。涉及码头泊运、上水、卸料、场地的堆放、道路的运输等一起手续及费用均由乙方负责。</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6、砂石场的车辆对外运输砂石，必须事前向镇城管执法分局申请准运证，说明运输原因，绘制简易运输路径。乙方负责砂石场出入主要道路及运输过程中周边道路（如防汛路、西罟范围内东海路段等）的保洁责任。</w:t>
      </w:r>
      <w:r>
        <w:rPr>
          <w:rFonts w:hint="eastAsia" w:ascii="宋体" w:hAnsi="宋体" w:eastAsia="宋体" w:cs="宋体"/>
          <w:color w:val="000000"/>
          <w:sz w:val="30"/>
          <w:szCs w:val="30"/>
        </w:rPr>
        <w:t>全部运输</w:t>
      </w:r>
      <w:r>
        <w:rPr>
          <w:rFonts w:hint="eastAsia" w:ascii="宋体" w:hAnsi="宋体" w:eastAsia="宋体" w:cs="宋体"/>
          <w:sz w:val="30"/>
          <w:szCs w:val="30"/>
        </w:rPr>
        <w:t>砂石的车辆要</w:t>
      </w:r>
      <w:r>
        <w:rPr>
          <w:rFonts w:hint="eastAsia" w:ascii="宋体" w:hAnsi="宋体" w:eastAsia="宋体" w:cs="宋体"/>
          <w:sz w:val="30"/>
          <w:szCs w:val="30"/>
          <w:lang w:eastAsia="zh-CN"/>
        </w:rPr>
        <w:t>采</w:t>
      </w:r>
      <w:r>
        <w:rPr>
          <w:rFonts w:hint="eastAsia" w:ascii="宋体" w:hAnsi="宋体" w:eastAsia="宋体" w:cs="宋体"/>
          <w:sz w:val="30"/>
          <w:szCs w:val="30"/>
        </w:rPr>
        <w:t>用10方以下（含10方）</w:t>
      </w:r>
      <w:r>
        <w:rPr>
          <w:rFonts w:hint="eastAsia" w:ascii="宋体" w:hAnsi="宋体" w:eastAsia="宋体" w:cs="宋体"/>
          <w:sz w:val="30"/>
          <w:szCs w:val="30"/>
          <w:lang w:eastAsia="zh-CN"/>
        </w:rPr>
        <w:t>的环保运输车，并且</w:t>
      </w:r>
      <w:r>
        <w:rPr>
          <w:rFonts w:hint="eastAsia" w:ascii="宋体" w:hAnsi="宋体" w:eastAsia="宋体" w:cs="宋体"/>
          <w:sz w:val="30"/>
          <w:szCs w:val="30"/>
        </w:rPr>
        <w:t>途径我村辖区内村路</w:t>
      </w:r>
      <w:r>
        <w:rPr>
          <w:rFonts w:hint="eastAsia" w:ascii="宋体" w:hAnsi="宋体" w:eastAsia="宋体" w:cs="宋体"/>
          <w:sz w:val="30"/>
          <w:szCs w:val="30"/>
          <w:lang w:val="en-US" w:eastAsia="zh-CN"/>
        </w:rPr>
        <w:t>时，</w:t>
      </w:r>
      <w:r>
        <w:rPr>
          <w:rFonts w:hint="eastAsia" w:ascii="宋体" w:hAnsi="宋体" w:eastAsia="宋体" w:cs="宋体"/>
          <w:sz w:val="30"/>
          <w:szCs w:val="30"/>
        </w:rPr>
        <w:t>车速控制在30公里/小时以下</w:t>
      </w:r>
      <w:r>
        <w:rPr>
          <w:rFonts w:hint="eastAsia" w:ascii="宋体" w:hAnsi="宋体" w:eastAsia="宋体" w:cs="宋体"/>
          <w:sz w:val="30"/>
          <w:szCs w:val="30"/>
          <w:lang w:eastAsia="zh-CN"/>
        </w:rPr>
        <w:t>。</w:t>
      </w:r>
      <w:r>
        <w:rPr>
          <w:rFonts w:hint="eastAsia" w:ascii="宋体" w:hAnsi="宋体" w:eastAsia="宋体" w:cs="宋体"/>
          <w:color w:val="000000"/>
          <w:sz w:val="30"/>
          <w:szCs w:val="30"/>
        </w:rPr>
        <w:t>全部运输</w:t>
      </w:r>
      <w:r>
        <w:rPr>
          <w:rFonts w:hint="eastAsia" w:ascii="宋体" w:hAnsi="宋体" w:eastAsia="宋体" w:cs="宋体"/>
          <w:sz w:val="30"/>
          <w:szCs w:val="30"/>
        </w:rPr>
        <w:t>砂石的车辆要做好扬尘污染防控工作</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在沙石场出入口处设置过滤运输车辆车轮的水池，运输车辆在运输工程中不能将砂石垃圾带到道路上。砂石场的其他规范管理按《东凤镇规范涉堤经营性沙石场经营管理实施方案》及其《补充规定》执行。</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7、乙方因经营需要，保养维修砂石场地和设备等一切费用，均由乙方负责。合同期满或解除、终止时，乙方在本砂石场承租范围内增设的一切基础设施及其他固定物品（房屋及机械设备除外）不能拆走或损坏，归甲方所有，并不作任何补偿。否则，视作乙方单方违约处理，甲方有权要求乙方承担恢复原状、作价赔偿等法律责任。</w:t>
      </w:r>
    </w:p>
    <w:p>
      <w:pPr>
        <w:pStyle w:val="2"/>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8、每年因洪水期影响砂石场业务的，甲方不作任务经济补偿或延长使用期限，所造成的损失均由乙方自行承担。</w:t>
      </w:r>
    </w:p>
    <w:p>
      <w:pPr>
        <w:ind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9、因国家、集体征地建设需要征用本砂石场范围内场地时，甲方和乙方必须无条件服从，不属单方违约，双方互不追究责任。甲方根据上级精神以书面通知乙方，同时，如乙方无违约行为的，甲方无息退还合同履约保证金给乙方，合同即行解除。乙方必须在接到通知之日起30天内，把自有的物品自费搬迁完毕，逾期不搬迁的，视作乙方放弃处理，甲方将聘请第三方进行清理，所产生的费用在乙方的合同履约保证金中支付，采取多退少补的原则。</w:t>
      </w:r>
    </w:p>
    <w:p>
      <w:pPr>
        <w:ind w:firstLine="600" w:firstLineChars="200"/>
        <w:jc w:val="both"/>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10、本次砂石场承包经营权涉及的经营范围和内容，只限于镇级或以上的政策允许下如实执行，如遇上级政策改变时，则按上级政策执行，视情况予以变更或终止。如需终止合同，均不属双方违约，甲方无息退还履约保证金给乙方，租金收至上级部门要求停办之日止，余下已缴交的资金无息退还给乙方。</w:t>
      </w:r>
    </w:p>
    <w:p>
      <w:pPr>
        <w:ind w:firstLine="64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11、本合同期满时，乙方必须缴纳完毕砂石场所有的经营管理费用，并在期满前30天时间内把自有的财产、物品搬迁清理完毕，否则，合同期满后，视作乙方放弃合同项目下场地内全部物品的所有权，无条件归甲方所有，不作任何补偿。期满后，乙方将砂石场的承包经营权交回给甲方，并不得将场地内回填的土方开挖运走。</w:t>
      </w:r>
    </w:p>
    <w:p>
      <w:pPr>
        <w:pStyle w:val="2"/>
        <w:ind w:firstLine="64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12、乙方必须按照法律法规、政策，合法经营合同项目下的场地。如发现乙方存在违法违规经营行为的，视作乙方单位违约，甲方有权单方解除合同，没收乙方支付的履约保证金。</w:t>
      </w:r>
    </w:p>
    <w:p>
      <w:pPr>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 xml:space="preserve">   七、甲乙双方指定联系人及联系方式</w:t>
      </w:r>
    </w:p>
    <w:p>
      <w:pPr>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甲乙双方确认以下送达方式为真实、有效，适用范围包括双方非诉时各类通知、协议等文件以及合同发生纠纷时相关文件和法律文书送达，同时包括在争议进入仲裁、民事诉讼程序后的一审、二审、再审、执行程序。因一方拒收，或地址、联系人有误等原因，均不影响文件的送达，一方按下列送达地址向对方发出的书面文件在邮寄后的第5日即视为送达。如下列送达地址有变动，一方应于送达地址变更后的次日以书面形式将送达地址已变更及新的送达地址书面通知对方，在送达地址变更的通知送达给对方之前，仍以原送达地址向对方发出的书面通知视为有效送达。</w:t>
      </w:r>
    </w:p>
    <w:p>
      <w:pPr>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甲方：东凤镇西罟步村民委员会  乙方：</w:t>
      </w:r>
    </w:p>
    <w:p>
      <w:pPr>
        <w:pStyle w:val="2"/>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联系人：                      联系人：</w:t>
      </w:r>
    </w:p>
    <w:p>
      <w:pPr>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联系电话：                    联系电话：</w:t>
      </w:r>
    </w:p>
    <w:p>
      <w:pPr>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送达地址：东凤镇西罟大道67号 送达地址：</w:t>
      </w:r>
    </w:p>
    <w:p>
      <w:pPr>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八、其他</w:t>
      </w:r>
    </w:p>
    <w:p>
      <w:pPr>
        <w:pStyle w:val="2"/>
        <w:ind w:firstLine="600" w:firstLineChars="200"/>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1、本合同书一式四份，甲方执叁份，乙方执一份，各份具同等法律效力。</w:t>
      </w:r>
    </w:p>
    <w:p>
      <w:pPr>
        <w:rPr>
          <w:rFonts w:hint="eastAsia" w:ascii="宋体" w:hAnsi="宋体" w:eastAsia="宋体" w:cs="宋体"/>
          <w:sz w:val="30"/>
          <w:szCs w:val="30"/>
          <w:lang w:val="en-US" w:eastAsia="zh-CN"/>
        </w:rPr>
      </w:pPr>
      <w:r>
        <w:rPr>
          <w:rFonts w:hint="eastAsia" w:ascii="宋体" w:hAnsi="宋体" w:eastAsia="宋体" w:cs="宋体"/>
          <w:b w:val="0"/>
          <w:bCs w:val="0"/>
          <w:kern w:val="2"/>
          <w:sz w:val="30"/>
          <w:szCs w:val="30"/>
          <w:lang w:val="en-US" w:eastAsia="zh-CN" w:bidi="ar-SA"/>
        </w:rPr>
        <w:t xml:space="preserve">    2、本合同自甲乙双方盖章及法定代表人或授权代表签名后，即时生效。双方必须按合同条款严格执行。</w:t>
      </w:r>
    </w:p>
    <w:p>
      <w:pPr>
        <w:pStyle w:val="2"/>
        <w:rPr>
          <w:rFonts w:hint="eastAsia" w:ascii="宋体" w:hAnsi="宋体" w:eastAsia="宋体" w:cs="宋体"/>
          <w:b w:val="0"/>
          <w:bCs w:val="0"/>
          <w:kern w:val="2"/>
          <w:sz w:val="30"/>
          <w:szCs w:val="30"/>
          <w:lang w:val="en-US" w:eastAsia="zh-CN" w:bidi="ar-SA"/>
        </w:rPr>
      </w:pPr>
    </w:p>
    <w:p>
      <w:pPr>
        <w:rPr>
          <w:rFonts w:hint="eastAsia"/>
          <w:lang w:val="en-US" w:eastAsia="zh-CN"/>
        </w:rPr>
      </w:pPr>
    </w:p>
    <w:p>
      <w:pPr>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甲方（盖章）：中山市东凤镇西罟步村民委员会</w:t>
      </w:r>
    </w:p>
    <w:p>
      <w:pPr>
        <w:pStyle w:val="2"/>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法定代表人：</w:t>
      </w:r>
    </w:p>
    <w:p>
      <w:pPr>
        <w:pStyle w:val="2"/>
        <w:rPr>
          <w:rFonts w:hint="eastAsia"/>
          <w:lang w:val="en-US" w:eastAsia="zh-CN"/>
        </w:rPr>
      </w:pPr>
    </w:p>
    <w:p>
      <w:pPr>
        <w:pStyle w:val="2"/>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乙方（盖章）：</w:t>
      </w:r>
    </w:p>
    <w:p>
      <w:pPr>
        <w:rPr>
          <w:rFonts w:hint="eastAsia" w:ascii="宋体" w:hAnsi="宋体" w:eastAsia="宋体" w:cs="宋体"/>
          <w:sz w:val="30"/>
          <w:szCs w:val="30"/>
          <w:lang w:val="en-US" w:eastAsia="zh-CN"/>
        </w:rPr>
      </w:pPr>
      <w:r>
        <w:rPr>
          <w:rFonts w:hint="eastAsia" w:ascii="宋体" w:hAnsi="宋体" w:eastAsia="宋体" w:cs="宋体"/>
          <w:b w:val="0"/>
          <w:bCs w:val="0"/>
          <w:kern w:val="2"/>
          <w:sz w:val="30"/>
          <w:szCs w:val="30"/>
          <w:lang w:val="en-US" w:eastAsia="zh-CN" w:bidi="ar-SA"/>
        </w:rPr>
        <w:t>法定代表人：</w:t>
      </w:r>
    </w:p>
    <w:p>
      <w:pPr>
        <w:rPr>
          <w:rFonts w:hint="eastAsia" w:ascii="宋体" w:hAnsi="宋体" w:eastAsia="宋体" w:cs="宋体"/>
          <w:b w:val="0"/>
          <w:bCs w:val="0"/>
          <w:kern w:val="2"/>
          <w:sz w:val="30"/>
          <w:szCs w:val="30"/>
          <w:lang w:val="en-US" w:eastAsia="zh-CN" w:bidi="ar-SA"/>
        </w:rPr>
      </w:pPr>
    </w:p>
    <w:p>
      <w:pPr>
        <w:pStyle w:val="2"/>
        <w:rPr>
          <w:rFonts w:hint="eastAsia"/>
          <w:lang w:val="en-US" w:eastAsia="zh-CN"/>
        </w:rPr>
      </w:pPr>
    </w:p>
    <w:p>
      <w:pPr>
        <w:rPr>
          <w:rFonts w:hint="eastAsia" w:ascii="宋体" w:hAnsi="宋体" w:eastAsia="宋体" w:cs="宋体"/>
          <w:sz w:val="30"/>
          <w:szCs w:val="30"/>
          <w:lang w:val="en-US" w:eastAsia="zh-CN"/>
        </w:rPr>
      </w:pPr>
      <w:r>
        <w:rPr>
          <w:rFonts w:hint="eastAsia" w:ascii="宋体" w:hAnsi="宋体" w:eastAsia="宋体" w:cs="宋体"/>
          <w:b w:val="0"/>
          <w:bCs w:val="0"/>
          <w:kern w:val="2"/>
          <w:sz w:val="30"/>
          <w:szCs w:val="30"/>
          <w:lang w:val="en-US" w:eastAsia="zh-CN" w:bidi="ar-SA"/>
        </w:rPr>
        <w:t xml:space="preserve"> 签订日期：2022年   月    日</w:t>
      </w:r>
    </w:p>
    <w:p>
      <w:pPr>
        <w:ind w:firstLine="640" w:firstLineChars="200"/>
        <w:jc w:val="both"/>
        <w:rPr>
          <w:rFonts w:hint="default"/>
          <w:sz w:val="32"/>
          <w:szCs w:val="32"/>
          <w:lang w:val="en-US" w:eastAsia="zh-CN"/>
        </w:rPr>
      </w:pPr>
    </w:p>
    <w:p>
      <w:pPr>
        <w:pStyle w:val="2"/>
        <w:rPr>
          <w:rFonts w:hint="eastAsia"/>
          <w:lang w:val="en-US" w:eastAsia="zh-CN"/>
        </w:rPr>
      </w:pPr>
    </w:p>
    <w:p>
      <w:pPr>
        <w:pStyle w:val="2"/>
        <w:rPr>
          <w:rFonts w:hint="eastAsia"/>
          <w:lang w:val="en-US" w:eastAsia="zh-CN"/>
        </w:rPr>
      </w:pPr>
    </w:p>
    <w:p>
      <w:pPr>
        <w:pStyle w:val="4"/>
        <w:keepNext w:val="0"/>
        <w:keepLines w:val="0"/>
        <w:pageBreakBefore w:val="0"/>
        <w:widowControl w:val="0"/>
        <w:kinsoku/>
        <w:wordWrap/>
        <w:overflowPunct/>
        <w:topLinePunct w:val="0"/>
        <w:autoSpaceDE/>
        <w:autoSpaceDN/>
        <w:bidi w:val="0"/>
        <w:adjustRightInd/>
        <w:snapToGrid/>
        <w:spacing w:after="120" w:line="240" w:lineRule="auto"/>
        <w:ind w:right="0" w:rightChars="0" w:firstLine="640" w:firstLineChars="200"/>
        <w:jc w:val="both"/>
        <w:textAlignment w:val="auto"/>
        <w:outlineLvl w:val="9"/>
        <w:rPr>
          <w:rFonts w:hint="default" w:asciiTheme="minorHAnsi" w:hAnsiTheme="minorHAnsi" w:eastAsiaTheme="minorEastAsia" w:cstheme="minorBidi"/>
          <w:kern w:val="2"/>
          <w:sz w:val="32"/>
          <w:szCs w:val="32"/>
          <w:lang w:val="en-US" w:eastAsia="zh-CN" w:bidi="ar-SA"/>
        </w:rPr>
      </w:pPr>
    </w:p>
    <w:p>
      <w:pPr>
        <w:jc w:val="both"/>
        <w:rPr>
          <w:rFonts w:hint="default"/>
          <w:sz w:val="44"/>
          <w:szCs w:val="44"/>
          <w:lang w:val="en-US" w:eastAsia="zh-CN"/>
        </w:rPr>
      </w:pP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D96C1"/>
    <w:multiLevelType w:val="singleLevel"/>
    <w:tmpl w:val="D4FD96C1"/>
    <w:lvl w:ilvl="0" w:tentative="0">
      <w:start w:val="1"/>
      <w:numFmt w:val="decimal"/>
      <w:suff w:val="nothing"/>
      <w:lvlText w:val="%1、"/>
      <w:lvlJc w:val="left"/>
    </w:lvl>
  </w:abstractNum>
  <w:abstractNum w:abstractNumId="1">
    <w:nsid w:val="DA93EB4F"/>
    <w:multiLevelType w:val="singleLevel"/>
    <w:tmpl w:val="DA93EB4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NjU0NmZjZjhjN2E2YmJmNTY1MjJlN2I0YjZkMDAifQ=="/>
  </w:docVars>
  <w:rsids>
    <w:rsidRoot w:val="00000000"/>
    <w:rsid w:val="025A60E5"/>
    <w:rsid w:val="04653F60"/>
    <w:rsid w:val="05B41475"/>
    <w:rsid w:val="08C856A3"/>
    <w:rsid w:val="0AF049F1"/>
    <w:rsid w:val="0DFD70B5"/>
    <w:rsid w:val="0EF53BC0"/>
    <w:rsid w:val="0F2D1459"/>
    <w:rsid w:val="0F4F5A5E"/>
    <w:rsid w:val="11631B20"/>
    <w:rsid w:val="123D3ED5"/>
    <w:rsid w:val="17191747"/>
    <w:rsid w:val="1B194B19"/>
    <w:rsid w:val="1D037172"/>
    <w:rsid w:val="213C1752"/>
    <w:rsid w:val="28EB082F"/>
    <w:rsid w:val="294C3A93"/>
    <w:rsid w:val="299920CB"/>
    <w:rsid w:val="2DBA2FCF"/>
    <w:rsid w:val="2F345CC8"/>
    <w:rsid w:val="32ED092F"/>
    <w:rsid w:val="333C6801"/>
    <w:rsid w:val="34767DFF"/>
    <w:rsid w:val="38DC110B"/>
    <w:rsid w:val="39A23755"/>
    <w:rsid w:val="3C957F32"/>
    <w:rsid w:val="3D3D4FC4"/>
    <w:rsid w:val="3EB81880"/>
    <w:rsid w:val="3EC17D95"/>
    <w:rsid w:val="44A467DB"/>
    <w:rsid w:val="45C55AAD"/>
    <w:rsid w:val="466B0DF4"/>
    <w:rsid w:val="49794AAE"/>
    <w:rsid w:val="4FD11B3D"/>
    <w:rsid w:val="54A03985"/>
    <w:rsid w:val="5571641B"/>
    <w:rsid w:val="55C22650"/>
    <w:rsid w:val="5A451880"/>
    <w:rsid w:val="5C0855F0"/>
    <w:rsid w:val="5CA241D1"/>
    <w:rsid w:val="5DB93381"/>
    <w:rsid w:val="5E0A4567"/>
    <w:rsid w:val="5E3857B9"/>
    <w:rsid w:val="5E937CA5"/>
    <w:rsid w:val="602F3F48"/>
    <w:rsid w:val="605E7121"/>
    <w:rsid w:val="644B0189"/>
    <w:rsid w:val="6735383C"/>
    <w:rsid w:val="6AB72D9B"/>
    <w:rsid w:val="6C0D34AC"/>
    <w:rsid w:val="6D930013"/>
    <w:rsid w:val="707534F0"/>
    <w:rsid w:val="72D0315F"/>
    <w:rsid w:val="758A49D4"/>
    <w:rsid w:val="799316E6"/>
    <w:rsid w:val="7A127CF0"/>
    <w:rsid w:val="7C7E2532"/>
    <w:rsid w:val="7F09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kern w:val="0"/>
      <w:sz w:val="20"/>
      <w:szCs w:val="20"/>
    </w:rPr>
  </w:style>
  <w:style w:type="paragraph" w:styleId="4">
    <w:name w:val="Body Text First Indent"/>
    <w:basedOn w:val="3"/>
    <w:qFormat/>
    <w:uiPriority w:val="0"/>
    <w:pPr>
      <w:ind w:firstLine="420" w:firstLineChars="1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2294</Words>
  <Characters>2332</Characters>
  <Lines>0</Lines>
  <Paragraphs>0</Paragraphs>
  <TotalTime>177</TotalTime>
  <ScaleCrop>false</ScaleCrop>
  <LinksUpToDate>false</LinksUpToDate>
  <CharactersWithSpaces>2393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2022-07-14T06:41:00Z</dcterms:created>
  <dc:creator>Administrator</dc:creator>
  <cp:lastModifiedBy>欢乐^_^（程香）</cp:lastModifiedBy>
  <dcterms:modified xsi:type="dcterms:W3CDTF">2022-08-16T09:36:49Z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9E10924BEF9C4B3BB8F054FB2FF3A0D6</vt:lpwstr>
  </property>
</Properties>
</file>