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574" w:lineRule="exact"/>
        <w:ind w:firstLine="0" w:firstLineChars="0"/>
        <w:jc w:val="center"/>
        <w:rPr>
          <w:rFonts w:ascii="方正小标宋简体" w:hAnsi="方正小标宋简体" w:eastAsia="方正小标宋简体" w:cs="方正小标宋简体"/>
          <w:color w:val="auto"/>
          <w:spacing w:val="-6"/>
          <w:kern w:val="2"/>
          <w:sz w:val="44"/>
          <w:szCs w:val="44"/>
        </w:rPr>
      </w:pPr>
      <w:r>
        <w:rPr>
          <w:rFonts w:hint="eastAsia" w:ascii="方正小标宋简体" w:hAnsi="方正小标宋简体" w:eastAsia="方正小标宋简体" w:cs="方正小标宋简体"/>
          <w:color w:val="auto"/>
          <w:spacing w:val="-6"/>
          <w:kern w:val="2"/>
          <w:sz w:val="44"/>
          <w:szCs w:val="44"/>
        </w:rPr>
        <w:t>中山市黄圃镇大雁村股份合作经济联合社</w:t>
      </w:r>
    </w:p>
    <w:p>
      <w:pPr>
        <w:widowControl w:val="0"/>
        <w:spacing w:line="574" w:lineRule="exact"/>
        <w:ind w:firstLine="0" w:firstLineChars="0"/>
        <w:jc w:val="center"/>
        <w:rPr>
          <w:rFonts w:hint="default" w:ascii="方正小标宋简体" w:hAnsi="方正小标宋简体" w:eastAsia="方正小标宋简体" w:cs="方正小标宋简体"/>
          <w:color w:val="auto"/>
          <w:spacing w:val="-6"/>
          <w:kern w:val="2"/>
          <w:sz w:val="44"/>
          <w:szCs w:val="44"/>
          <w:lang w:val="en-US" w:eastAsia="zh-CN"/>
        </w:rPr>
      </w:pPr>
      <w:r>
        <w:rPr>
          <w:rFonts w:hint="eastAsia" w:ascii="方正小标宋简体" w:hAnsi="方正小标宋简体" w:eastAsia="方正小标宋简体" w:cs="方正小标宋简体"/>
          <w:color w:val="auto"/>
          <w:spacing w:val="-6"/>
          <w:kern w:val="2"/>
          <w:sz w:val="44"/>
          <w:szCs w:val="44"/>
        </w:rPr>
        <w:t>“工改工”宗地项目“三旧”改造方案</w:t>
      </w:r>
      <w:r>
        <w:rPr>
          <w:rFonts w:hint="eastAsia" w:ascii="方正小标宋简体" w:hAnsi="方正小标宋简体" w:eastAsia="方正小标宋简体" w:cs="方正小标宋简体"/>
          <w:color w:val="auto"/>
          <w:spacing w:val="-6"/>
          <w:kern w:val="2"/>
          <w:sz w:val="44"/>
          <w:szCs w:val="44"/>
          <w:lang w:eastAsia="zh-CN"/>
        </w:rPr>
        <w:t>（</w:t>
      </w:r>
      <w:r>
        <w:rPr>
          <w:rFonts w:hint="eastAsia" w:ascii="方正小标宋简体" w:hAnsi="方正小标宋简体" w:eastAsia="方正小标宋简体" w:cs="方正小标宋简体"/>
          <w:color w:val="auto"/>
          <w:spacing w:val="-6"/>
          <w:kern w:val="2"/>
          <w:sz w:val="44"/>
          <w:szCs w:val="44"/>
          <w:lang w:val="en-US" w:eastAsia="zh-CN"/>
        </w:rPr>
        <w:t>草案）</w:t>
      </w:r>
    </w:p>
    <w:p>
      <w:pPr>
        <w:spacing w:line="574" w:lineRule="exact"/>
        <w:ind w:firstLine="0" w:firstLineChars="0"/>
        <w:jc w:val="center"/>
        <w:rPr>
          <w:rFonts w:ascii="仿宋_GB2312" w:hAnsi="仿宋_GB2312" w:eastAsia="仿宋_GB2312" w:cs="仿宋_GB2312"/>
          <w:color w:val="auto"/>
          <w:spacing w:val="-6"/>
          <w:sz w:val="32"/>
          <w:szCs w:val="32"/>
        </w:rPr>
      </w:pP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根据中山市城市更新（“三旧”改造）专项规划和现行控制性详细规划，黄圃镇人民政府拟对位于黄圃镇大雁村的中山市黄圃镇大雁村股份合作经济联合社（下称“大雁村经联社”）旧厂房用地进行改造，由大雁村经联社通过市农村集体“三资”管理服务平台公开竞投确定企业合作改造，采取全面改造的改造方式。改造方案如下：</w:t>
      </w:r>
    </w:p>
    <w:p>
      <w:pPr>
        <w:numPr>
          <w:ilvl w:val="0"/>
          <w:numId w:val="1"/>
        </w:numPr>
        <w:spacing w:line="574" w:lineRule="exact"/>
        <w:ind w:firstLine="616"/>
        <w:jc w:val="both"/>
        <w:rPr>
          <w:rFonts w:ascii="黑体" w:hAnsi="黑体" w:eastAsia="黑体" w:cs="黑体"/>
          <w:color w:val="auto"/>
          <w:spacing w:val="-6"/>
          <w:sz w:val="32"/>
          <w:szCs w:val="32"/>
        </w:rPr>
      </w:pPr>
      <w:r>
        <w:rPr>
          <w:rFonts w:hint="eastAsia" w:ascii="黑体" w:hAnsi="黑体" w:eastAsia="黑体" w:cs="黑体"/>
          <w:color w:val="auto"/>
          <w:spacing w:val="-6"/>
          <w:sz w:val="32"/>
          <w:szCs w:val="32"/>
        </w:rPr>
        <w:t>改造地块基本情况</w:t>
      </w:r>
    </w:p>
    <w:p>
      <w:pPr>
        <w:spacing w:line="574" w:lineRule="exact"/>
        <w:ind w:firstLine="616"/>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（一）总体情况</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改造地块位于圃灵路与雁东三路交界处，南至圃灵路，东至雁东三路，西至黄焯辉、吴韵云、梁建雄用地，北至蔡锡锋用地，用地面积2.2</w:t>
      </w:r>
      <w:r>
        <w:rPr>
          <w:rFonts w:ascii="仿宋_GB2312" w:hAnsi="仿宋_GB2312" w:eastAsia="仿宋_GB2312" w:cs="仿宋_GB2312"/>
          <w:color w:val="auto"/>
          <w:spacing w:val="-6"/>
          <w:sz w:val="32"/>
          <w:szCs w:val="32"/>
        </w:rPr>
        <w:t>625</w:t>
      </w:r>
      <w:r>
        <w:rPr>
          <w:rFonts w:hint="eastAsia" w:ascii="仿宋_GB2312" w:hAnsi="仿宋_GB2312" w:eastAsia="仿宋_GB2312" w:cs="仿宋_GB2312"/>
          <w:color w:val="auto"/>
          <w:spacing w:val="-6"/>
          <w:sz w:val="32"/>
          <w:szCs w:val="32"/>
        </w:rPr>
        <w:t>公顷（226</w:t>
      </w:r>
      <w:r>
        <w:rPr>
          <w:rFonts w:ascii="仿宋_GB2312" w:hAnsi="仿宋_GB2312" w:eastAsia="仿宋_GB2312" w:cs="仿宋_GB2312"/>
          <w:color w:val="auto"/>
          <w:spacing w:val="-6"/>
          <w:sz w:val="32"/>
          <w:szCs w:val="32"/>
        </w:rPr>
        <w:t>24.99</w:t>
      </w:r>
      <w:r>
        <w:rPr>
          <w:rFonts w:hint="eastAsia" w:ascii="仿宋_GB2312" w:hAnsi="仿宋_GB2312" w:eastAsia="仿宋_GB2312" w:cs="仿宋_GB2312"/>
          <w:color w:val="auto"/>
          <w:spacing w:val="-6"/>
          <w:sz w:val="32"/>
          <w:szCs w:val="32"/>
        </w:rPr>
        <w:t>平方米，折合33.9</w:t>
      </w:r>
      <w:r>
        <w:rPr>
          <w:rFonts w:ascii="仿宋_GB2312" w:hAnsi="仿宋_GB2312" w:eastAsia="仿宋_GB2312" w:cs="仿宋_GB2312"/>
          <w:color w:val="auto"/>
          <w:spacing w:val="-6"/>
          <w:sz w:val="32"/>
          <w:szCs w:val="32"/>
        </w:rPr>
        <w:t>4</w:t>
      </w:r>
      <w:r>
        <w:rPr>
          <w:rFonts w:hint="eastAsia" w:ascii="仿宋_GB2312" w:hAnsi="仿宋_GB2312" w:eastAsia="仿宋_GB2312" w:cs="仿宋_GB2312"/>
          <w:color w:val="auto"/>
          <w:spacing w:val="-6"/>
          <w:sz w:val="32"/>
          <w:szCs w:val="32"/>
        </w:rPr>
        <w:t>亩）。</w:t>
      </w:r>
    </w:p>
    <w:p>
      <w:pPr>
        <w:spacing w:line="574" w:lineRule="exact"/>
        <w:ind w:firstLine="616"/>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（二）标图入库情况</w:t>
      </w:r>
    </w:p>
    <w:p>
      <w:pPr>
        <w:spacing w:line="574" w:lineRule="exact"/>
        <w:ind w:firstLine="616"/>
        <w:jc w:val="both"/>
        <w:rPr>
          <w:rFonts w:ascii="仿宋_GB2312" w:hAnsi="仿宋_GB2312" w:eastAsia="仿宋_GB2312" w:cs="仿宋_GB2312"/>
          <w:color w:val="auto"/>
          <w:spacing w:val="-6"/>
          <w:sz w:val="32"/>
          <w:szCs w:val="32"/>
          <w:highlight w:val="yellow"/>
        </w:rPr>
      </w:pPr>
      <w:r>
        <w:rPr>
          <w:rFonts w:hint="eastAsia" w:ascii="仿宋_GB2312" w:hAnsi="仿宋_GB2312" w:eastAsia="仿宋_GB2312" w:cs="仿宋_GB2312"/>
          <w:color w:val="auto"/>
          <w:spacing w:val="-6"/>
          <w:sz w:val="32"/>
          <w:szCs w:val="32"/>
        </w:rPr>
        <w:t>改造地块已于2012年6月纳入“三旧”标图入库，图斑编号44200026422、44200043535，纳入图斑面积2.26</w:t>
      </w:r>
      <w:r>
        <w:rPr>
          <w:rFonts w:ascii="仿宋_GB2312" w:hAnsi="仿宋_GB2312" w:eastAsia="仿宋_GB2312" w:cs="仿宋_GB2312"/>
          <w:color w:val="auto"/>
          <w:spacing w:val="-6"/>
          <w:sz w:val="32"/>
          <w:szCs w:val="32"/>
        </w:rPr>
        <w:t>25</w:t>
      </w:r>
      <w:r>
        <w:rPr>
          <w:rFonts w:hint="eastAsia" w:ascii="仿宋_GB2312" w:hAnsi="仿宋_GB2312" w:eastAsia="仿宋_GB2312" w:cs="仿宋_GB2312"/>
          <w:color w:val="auto"/>
          <w:spacing w:val="-6"/>
          <w:sz w:val="32"/>
          <w:szCs w:val="32"/>
        </w:rPr>
        <w:t>公顷（2262</w:t>
      </w:r>
      <w:r>
        <w:rPr>
          <w:rFonts w:ascii="仿宋_GB2312" w:hAnsi="仿宋_GB2312" w:eastAsia="仿宋_GB2312" w:cs="仿宋_GB2312"/>
          <w:color w:val="auto"/>
          <w:spacing w:val="-6"/>
          <w:sz w:val="32"/>
          <w:szCs w:val="32"/>
        </w:rPr>
        <w:t>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99</w:t>
      </w:r>
      <w:r>
        <w:rPr>
          <w:rFonts w:hint="eastAsia" w:ascii="仿宋_GB2312" w:hAnsi="仿宋_GB2312" w:eastAsia="仿宋_GB2312" w:cs="仿宋_GB2312"/>
          <w:color w:val="auto"/>
          <w:spacing w:val="-6"/>
          <w:sz w:val="32"/>
          <w:szCs w:val="32"/>
        </w:rPr>
        <w:t>平方米，折合33.94亩），纳入本次改造范围。</w:t>
      </w:r>
    </w:p>
    <w:p>
      <w:pPr>
        <w:spacing w:line="574" w:lineRule="exact"/>
        <w:ind w:firstLine="616"/>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（三）权属情况</w:t>
      </w:r>
    </w:p>
    <w:p>
      <w:pPr>
        <w:spacing w:line="574" w:lineRule="exact"/>
        <w:ind w:firstLine="616"/>
        <w:jc w:val="both"/>
        <w:rPr>
          <w:rFonts w:ascii="仿宋_GB2312" w:hAnsi="仿宋_GB2312" w:eastAsia="仿宋_GB2312" w:cs="仿宋_GB2312"/>
          <w:b/>
          <w:color w:val="auto"/>
          <w:spacing w:val="-6"/>
          <w:sz w:val="32"/>
          <w:szCs w:val="32"/>
        </w:rPr>
      </w:pPr>
      <w:r>
        <w:rPr>
          <w:rFonts w:hint="eastAsia" w:ascii="仿宋_GB2312" w:hAnsi="仿宋_GB2312" w:eastAsia="仿宋_GB2312" w:cs="仿宋_GB2312"/>
          <w:color w:val="auto"/>
          <w:spacing w:val="-6"/>
          <w:sz w:val="32"/>
          <w:szCs w:val="32"/>
        </w:rPr>
        <w:t xml:space="preserve">改造地块全部属大雁村经联社所有的集体建设用地，所有权证号为中府集有（2015）第0100011号，无合法用地手续，为原大雁村村民委员会自2004年5月开始使用。 </w:t>
      </w:r>
    </w:p>
    <w:p>
      <w:pPr>
        <w:spacing w:line="574" w:lineRule="exact"/>
        <w:ind w:firstLine="616"/>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（四）土地现状情况</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改造地块2.26</w:t>
      </w:r>
      <w:r>
        <w:rPr>
          <w:rFonts w:ascii="仿宋_GB2312" w:hAnsi="仿宋_GB2312" w:eastAsia="仿宋_GB2312" w:cs="仿宋_GB2312"/>
          <w:color w:val="auto"/>
          <w:spacing w:val="-6"/>
          <w:sz w:val="32"/>
          <w:szCs w:val="32"/>
        </w:rPr>
        <w:t>25</w:t>
      </w:r>
      <w:r>
        <w:rPr>
          <w:rFonts w:hint="eastAsia" w:ascii="仿宋_GB2312" w:hAnsi="仿宋_GB2312" w:eastAsia="仿宋_GB2312" w:cs="仿宋_GB2312"/>
          <w:color w:val="auto"/>
          <w:spacing w:val="-6"/>
          <w:sz w:val="32"/>
          <w:szCs w:val="32"/>
        </w:rPr>
        <w:t>公顷（226</w:t>
      </w:r>
      <w:r>
        <w:rPr>
          <w:rFonts w:ascii="仿宋_GB2312" w:hAnsi="仿宋_GB2312" w:eastAsia="仿宋_GB2312" w:cs="仿宋_GB2312"/>
          <w:color w:val="auto"/>
          <w:spacing w:val="-6"/>
          <w:sz w:val="32"/>
          <w:szCs w:val="32"/>
        </w:rPr>
        <w:t>24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99</w:t>
      </w:r>
      <w:r>
        <w:rPr>
          <w:rFonts w:hint="eastAsia" w:ascii="仿宋_GB2312" w:hAnsi="仿宋_GB2312" w:eastAsia="仿宋_GB2312" w:cs="仿宋_GB2312"/>
          <w:color w:val="auto"/>
          <w:spacing w:val="-6"/>
          <w:sz w:val="32"/>
          <w:szCs w:val="32"/>
        </w:rPr>
        <w:t>平方米，折合33.9</w:t>
      </w:r>
      <w:r>
        <w:rPr>
          <w:rFonts w:ascii="仿宋_GB2312" w:hAnsi="仿宋_GB2312" w:eastAsia="仿宋_GB2312" w:cs="仿宋_GB2312"/>
          <w:color w:val="auto"/>
          <w:spacing w:val="-6"/>
          <w:sz w:val="32"/>
          <w:szCs w:val="32"/>
        </w:rPr>
        <w:t>4</w:t>
      </w:r>
      <w:r>
        <w:rPr>
          <w:rFonts w:hint="eastAsia" w:ascii="仿宋_GB2312" w:hAnsi="仿宋_GB2312" w:eastAsia="仿宋_GB2312" w:cs="仿宋_GB2312"/>
          <w:color w:val="auto"/>
          <w:spacing w:val="-6"/>
          <w:sz w:val="32"/>
          <w:szCs w:val="32"/>
        </w:rPr>
        <w:t>亩），不涉及纳入改造范围整体利用的边角地、夹心地、插花地（下称“三地”）、其他用地、征地留用地、与原“三旧”用地置换的“三旧”用地或其他存量建设用地、使用原“三旧”用地复垦产生的规模或指标的非建设用地。</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改造地块现状为建设用地2.26</w:t>
      </w:r>
      <w:r>
        <w:rPr>
          <w:rFonts w:ascii="仿宋_GB2312" w:hAnsi="仿宋_GB2312" w:eastAsia="仿宋_GB2312" w:cs="仿宋_GB2312"/>
          <w:color w:val="auto"/>
          <w:spacing w:val="-6"/>
          <w:sz w:val="32"/>
          <w:szCs w:val="32"/>
        </w:rPr>
        <w:t>25</w:t>
      </w:r>
      <w:r>
        <w:rPr>
          <w:rFonts w:hint="eastAsia" w:ascii="仿宋_GB2312" w:hAnsi="仿宋_GB2312" w:eastAsia="仿宋_GB2312" w:cs="仿宋_GB2312"/>
          <w:color w:val="auto"/>
          <w:spacing w:val="-6"/>
          <w:sz w:val="32"/>
          <w:szCs w:val="32"/>
        </w:rPr>
        <w:t>公顷（226</w:t>
      </w:r>
      <w:r>
        <w:rPr>
          <w:rFonts w:ascii="仿宋_GB2312" w:hAnsi="仿宋_GB2312" w:eastAsia="仿宋_GB2312" w:cs="仿宋_GB2312"/>
          <w:color w:val="auto"/>
          <w:spacing w:val="-6"/>
          <w:sz w:val="32"/>
          <w:szCs w:val="32"/>
        </w:rPr>
        <w:t>24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99</w:t>
      </w:r>
      <w:r>
        <w:rPr>
          <w:rFonts w:hint="eastAsia" w:ascii="仿宋_GB2312" w:hAnsi="仿宋_GB2312" w:eastAsia="仿宋_GB2312" w:cs="仿宋_GB2312"/>
          <w:color w:val="auto"/>
          <w:spacing w:val="-6"/>
          <w:sz w:val="32"/>
          <w:szCs w:val="32"/>
        </w:rPr>
        <w:t>平方米，折合33.9</w:t>
      </w:r>
      <w:r>
        <w:rPr>
          <w:rFonts w:ascii="仿宋_GB2312" w:hAnsi="仿宋_GB2312" w:eastAsia="仿宋_GB2312" w:cs="仿宋_GB2312"/>
          <w:color w:val="auto"/>
          <w:spacing w:val="-6"/>
          <w:sz w:val="32"/>
          <w:szCs w:val="32"/>
        </w:rPr>
        <w:t>4</w:t>
      </w:r>
      <w:r>
        <w:rPr>
          <w:rFonts w:hint="eastAsia" w:ascii="仿宋_GB2312" w:hAnsi="仿宋_GB2312" w:eastAsia="仿宋_GB2312" w:cs="仿宋_GB2312"/>
          <w:color w:val="auto"/>
          <w:spacing w:val="-6"/>
          <w:sz w:val="32"/>
          <w:szCs w:val="32"/>
        </w:rPr>
        <w:t>亩），不涉及农用地、未利用地。</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改造地块现有5栋建筑物，为原大雁村村民委员会自2004年5月开始使用。无合法规划报建手续，现有建筑面积</w:t>
      </w:r>
      <w:r>
        <w:rPr>
          <w:rFonts w:ascii="仿宋_GB2312" w:hAnsi="仿宋_GB2312" w:eastAsia="仿宋_GB2312" w:cs="仿宋_GB2312"/>
          <w:color w:val="auto"/>
          <w:spacing w:val="-6"/>
          <w:sz w:val="32"/>
          <w:szCs w:val="32"/>
        </w:rPr>
        <w:t>17295.17</w:t>
      </w:r>
      <w:r>
        <w:rPr>
          <w:rFonts w:hint="eastAsia" w:ascii="仿宋_GB2312" w:hAnsi="仿宋_GB2312" w:eastAsia="仿宋_GB2312" w:cs="仿宋_GB2312"/>
          <w:color w:val="auto"/>
          <w:spacing w:val="-6"/>
          <w:sz w:val="32"/>
          <w:szCs w:val="32"/>
        </w:rPr>
        <w:t>平方米，现状容积率为0.76，作出租厂房以及配套仓储使用。该地块目前已拆除建筑面积0平方米。改造前年产值约为5500万元，年税收约为250万元。</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改造地块不涉及闲置、抵押、历史文化资源要素等情况。</w:t>
      </w:r>
    </w:p>
    <w:p>
      <w:pPr>
        <w:spacing w:line="574" w:lineRule="exact"/>
        <w:ind w:firstLine="616"/>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（五）规划情况</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改造地块符合土地利用总体规划、控制性详细规划，已纳入《中山市“三旧”改造（城市更新）专项规划（2017-2020）》。其中，在《黄圃镇土地利用总体规划（2010-2020年）调整完善》中，属城镇建设用地2.26</w:t>
      </w:r>
      <w:r>
        <w:rPr>
          <w:rFonts w:ascii="仿宋_GB2312" w:hAnsi="仿宋_GB2312" w:eastAsia="仿宋_GB2312" w:cs="仿宋_GB2312"/>
          <w:color w:val="auto"/>
          <w:spacing w:val="-6"/>
          <w:sz w:val="32"/>
          <w:szCs w:val="32"/>
        </w:rPr>
        <w:t>25</w:t>
      </w:r>
      <w:r>
        <w:rPr>
          <w:rFonts w:hint="eastAsia" w:ascii="仿宋_GB2312" w:hAnsi="仿宋_GB2312" w:eastAsia="仿宋_GB2312" w:cs="仿宋_GB2312"/>
          <w:color w:val="auto"/>
          <w:spacing w:val="-6"/>
          <w:sz w:val="32"/>
          <w:szCs w:val="32"/>
        </w:rPr>
        <w:t>公顷（226</w:t>
      </w:r>
      <w:r>
        <w:rPr>
          <w:rFonts w:ascii="仿宋_GB2312" w:hAnsi="仿宋_GB2312" w:eastAsia="仿宋_GB2312" w:cs="仿宋_GB2312"/>
          <w:color w:val="auto"/>
          <w:spacing w:val="-6"/>
          <w:sz w:val="32"/>
          <w:szCs w:val="32"/>
        </w:rPr>
        <w:t>24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99</w:t>
      </w:r>
      <w:r>
        <w:rPr>
          <w:rFonts w:hint="eastAsia" w:ascii="仿宋_GB2312" w:hAnsi="仿宋_GB2312" w:eastAsia="仿宋_GB2312" w:cs="仿宋_GB2312"/>
          <w:color w:val="auto"/>
          <w:spacing w:val="-6"/>
          <w:sz w:val="32"/>
          <w:szCs w:val="32"/>
        </w:rPr>
        <w:t>平方米，折合33.9</w:t>
      </w:r>
      <w:r>
        <w:rPr>
          <w:rFonts w:ascii="仿宋_GB2312" w:hAnsi="仿宋_GB2312" w:eastAsia="仿宋_GB2312" w:cs="仿宋_GB2312"/>
          <w:color w:val="auto"/>
          <w:spacing w:val="-6"/>
          <w:sz w:val="32"/>
          <w:szCs w:val="32"/>
        </w:rPr>
        <w:t>4</w:t>
      </w:r>
      <w:r>
        <w:rPr>
          <w:rFonts w:hint="eastAsia" w:ascii="仿宋_GB2312" w:hAnsi="仿宋_GB2312" w:eastAsia="仿宋_GB2312" w:cs="仿宋_GB2312"/>
          <w:color w:val="auto"/>
          <w:spacing w:val="-6"/>
          <w:sz w:val="32"/>
          <w:szCs w:val="32"/>
        </w:rPr>
        <w:t>亩。在《中山市黄圃镇大雁工业片区控制性详细规划调整（2022）》（中府函〔2022〕48 号）中，一类工业用地2.23</w:t>
      </w:r>
      <w:r>
        <w:rPr>
          <w:rFonts w:ascii="仿宋_GB2312" w:hAnsi="仿宋_GB2312" w:eastAsia="仿宋_GB2312" w:cs="仿宋_GB2312"/>
          <w:color w:val="auto"/>
          <w:spacing w:val="-6"/>
          <w:sz w:val="32"/>
          <w:szCs w:val="32"/>
        </w:rPr>
        <w:t>05</w:t>
      </w:r>
      <w:r>
        <w:rPr>
          <w:rFonts w:hint="eastAsia" w:ascii="仿宋_GB2312" w:hAnsi="仿宋_GB2312" w:eastAsia="仿宋_GB2312" w:cs="仿宋_GB2312"/>
          <w:color w:val="auto"/>
          <w:spacing w:val="-6"/>
          <w:sz w:val="32"/>
          <w:szCs w:val="32"/>
        </w:rPr>
        <w:t>公顷（223</w:t>
      </w:r>
      <w:r>
        <w:rPr>
          <w:rFonts w:ascii="仿宋_GB2312" w:hAnsi="仿宋_GB2312" w:eastAsia="仿宋_GB2312" w:cs="仿宋_GB2312"/>
          <w:color w:val="auto"/>
          <w:spacing w:val="-6"/>
          <w:sz w:val="32"/>
          <w:szCs w:val="32"/>
        </w:rPr>
        <w:t>04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98</w:t>
      </w:r>
      <w:r>
        <w:rPr>
          <w:rFonts w:hint="eastAsia" w:ascii="仿宋_GB2312" w:hAnsi="仿宋_GB2312" w:eastAsia="仿宋_GB2312" w:cs="仿宋_GB2312"/>
          <w:color w:val="auto"/>
          <w:spacing w:val="-6"/>
          <w:sz w:val="32"/>
          <w:szCs w:val="32"/>
        </w:rPr>
        <w:t>平方米，折合33.</w:t>
      </w:r>
      <w:r>
        <w:rPr>
          <w:rFonts w:ascii="仿宋_GB2312" w:hAnsi="仿宋_GB2312" w:eastAsia="仿宋_GB2312" w:cs="仿宋_GB2312"/>
          <w:color w:val="auto"/>
          <w:spacing w:val="-6"/>
          <w:sz w:val="32"/>
          <w:szCs w:val="32"/>
        </w:rPr>
        <w:t>46</w:t>
      </w:r>
      <w:r>
        <w:rPr>
          <w:rFonts w:hint="eastAsia" w:ascii="仿宋_GB2312" w:hAnsi="仿宋_GB2312" w:eastAsia="仿宋_GB2312" w:cs="仿宋_GB2312"/>
          <w:color w:val="auto"/>
          <w:spacing w:val="-6"/>
          <w:sz w:val="32"/>
          <w:szCs w:val="32"/>
        </w:rPr>
        <w:t>亩），规划容积率1.0-3.5，建筑密度35%-60%，绿地率10%-15%，建筑高度≤50米；道路用地0.03</w:t>
      </w:r>
      <w:r>
        <w:rPr>
          <w:rFonts w:ascii="仿宋_GB2312" w:hAnsi="仿宋_GB2312" w:eastAsia="仿宋_GB2312" w:cs="仿宋_GB2312"/>
          <w:color w:val="auto"/>
          <w:spacing w:val="-6"/>
          <w:sz w:val="32"/>
          <w:szCs w:val="32"/>
        </w:rPr>
        <w:t>20</w:t>
      </w:r>
      <w:r>
        <w:rPr>
          <w:rFonts w:hint="eastAsia" w:ascii="仿宋_GB2312" w:hAnsi="仿宋_GB2312" w:eastAsia="仿宋_GB2312" w:cs="仿宋_GB2312"/>
          <w:color w:val="auto"/>
          <w:spacing w:val="-6"/>
          <w:sz w:val="32"/>
          <w:szCs w:val="32"/>
        </w:rPr>
        <w:t>公顷（3</w:t>
      </w:r>
      <w:r>
        <w:rPr>
          <w:rFonts w:ascii="仿宋_GB2312" w:hAnsi="仿宋_GB2312" w:eastAsia="仿宋_GB2312" w:cs="仿宋_GB2312"/>
          <w:color w:val="auto"/>
          <w:spacing w:val="-6"/>
          <w:sz w:val="32"/>
          <w:szCs w:val="32"/>
        </w:rPr>
        <w:t>20</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01</w:t>
      </w:r>
      <w:r>
        <w:rPr>
          <w:rFonts w:hint="eastAsia" w:ascii="仿宋_GB2312" w:hAnsi="仿宋_GB2312" w:eastAsia="仿宋_GB2312" w:cs="仿宋_GB2312"/>
          <w:color w:val="auto"/>
          <w:spacing w:val="-6"/>
          <w:sz w:val="32"/>
          <w:szCs w:val="32"/>
        </w:rPr>
        <w:t>平方米，折合0.48亩）。</w:t>
      </w:r>
    </w:p>
    <w:p>
      <w:pPr>
        <w:spacing w:line="574" w:lineRule="exact"/>
        <w:ind w:firstLine="616"/>
        <w:jc w:val="both"/>
        <w:rPr>
          <w:rFonts w:ascii="仿宋_GB2312" w:hAnsi="仿宋_GB2312" w:eastAsia="仿宋_GB2312" w:cs="仿宋_GB2312"/>
          <w:b/>
          <w:color w:val="auto"/>
          <w:spacing w:val="-6"/>
          <w:sz w:val="32"/>
          <w:szCs w:val="32"/>
        </w:rPr>
      </w:pPr>
      <w:r>
        <w:rPr>
          <w:rFonts w:hint="eastAsia" w:ascii="仿宋_GB2312" w:hAnsi="仿宋_GB2312" w:eastAsia="仿宋_GB2312" w:cs="仿宋_GB2312"/>
          <w:color w:val="auto"/>
          <w:spacing w:val="-6"/>
          <w:sz w:val="32"/>
          <w:szCs w:val="32"/>
        </w:rPr>
        <w:t>改造地块位于城镇开发边界内，不涉及永久基本农田、生态保护红线等管控要求。</w:t>
      </w:r>
    </w:p>
    <w:p>
      <w:pPr>
        <w:spacing w:line="574" w:lineRule="exact"/>
        <w:ind w:firstLine="616"/>
        <w:jc w:val="both"/>
        <w:rPr>
          <w:rFonts w:ascii="黑体" w:hAnsi="黑体" w:eastAsia="黑体" w:cs="黑体"/>
          <w:color w:val="auto"/>
          <w:spacing w:val="-6"/>
          <w:sz w:val="32"/>
          <w:szCs w:val="32"/>
        </w:rPr>
      </w:pPr>
      <w:r>
        <w:rPr>
          <w:rFonts w:hint="eastAsia" w:ascii="黑体" w:hAnsi="黑体" w:eastAsia="黑体" w:cs="黑体"/>
          <w:color w:val="auto"/>
          <w:spacing w:val="-6"/>
          <w:sz w:val="32"/>
          <w:szCs w:val="32"/>
        </w:rPr>
        <w:t>二、改造意愿及补偿情况</w:t>
      </w:r>
    </w:p>
    <w:p>
      <w:pPr>
        <w:spacing w:line="574" w:lineRule="exact"/>
        <w:ind w:firstLine="640" w:firstLineChars="0"/>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w:t>
      </w:r>
      <w:r>
        <w:rPr>
          <w:rFonts w:hint="eastAsia" w:ascii="楷体" w:hAnsi="楷体" w:eastAsia="楷体" w:cs="楷体"/>
          <w:color w:val="auto"/>
          <w:spacing w:val="-6"/>
          <w:sz w:val="32"/>
          <w:szCs w:val="32"/>
        </w:rPr>
        <w:t>一</w:t>
      </w:r>
      <w:r>
        <w:rPr>
          <w:rFonts w:hint="eastAsia" w:ascii="楷体" w:hAnsi="楷体" w:eastAsia="楷体" w:cs="楷体"/>
          <w:color w:val="auto"/>
          <w:spacing w:val="-6"/>
          <w:kern w:val="2"/>
          <w:sz w:val="32"/>
          <w:szCs w:val="32"/>
        </w:rPr>
        <w:t>）改造意愿情况</w:t>
      </w:r>
    </w:p>
    <w:p>
      <w:pPr>
        <w:spacing w:line="574" w:lineRule="exact"/>
        <w:ind w:firstLine="640" w:firstLineChars="0"/>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涉及大雁村经联社1个权利主体，大雁村经联社将按照法律法规及我市城市更新（“三旧”改造）政策规定，就改造范围、土地现状、改造主体及拟改造情况等事项充分征求大雁村农村集体经济组织和村民的意见，经大雁村经联社股东代表大会三分之二以上成员表决同意后，再将改造地块办理完善集体建设用地手续并自愿转为国有建设用地，并将涉及土地、房屋纳入改造范围。</w:t>
      </w:r>
    </w:p>
    <w:p>
      <w:pPr>
        <w:spacing w:line="574" w:lineRule="exact"/>
        <w:ind w:firstLine="640" w:firstLineChars="0"/>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（二）补偿安置情况</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改造地块不涉及补偿安置情况。</w:t>
      </w:r>
    </w:p>
    <w:p>
      <w:pPr>
        <w:spacing w:line="574" w:lineRule="exact"/>
        <w:ind w:firstLine="616"/>
        <w:jc w:val="both"/>
        <w:rPr>
          <w:rFonts w:ascii="楷体" w:hAnsi="楷体" w:eastAsia="楷体" w:cs="楷体"/>
          <w:color w:val="auto"/>
          <w:spacing w:val="-6"/>
          <w:kern w:val="2"/>
          <w:sz w:val="32"/>
          <w:szCs w:val="32"/>
        </w:rPr>
      </w:pPr>
      <w:r>
        <w:rPr>
          <w:rFonts w:hint="eastAsia" w:ascii="楷体" w:hAnsi="楷体" w:eastAsia="楷体" w:cs="楷体"/>
          <w:color w:val="auto"/>
          <w:spacing w:val="-6"/>
          <w:kern w:val="2"/>
          <w:sz w:val="32"/>
          <w:szCs w:val="32"/>
        </w:rPr>
        <w:t>（三）开展社会稳定风险评估情况</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改造地块范围涉及需办理集体土地完善转用手续的土地2.26</w:t>
      </w:r>
      <w:r>
        <w:rPr>
          <w:rFonts w:ascii="仿宋_GB2312" w:hAnsi="仿宋_GB2312" w:eastAsia="仿宋_GB2312" w:cs="仿宋_GB2312"/>
          <w:color w:val="auto"/>
          <w:spacing w:val="-6"/>
          <w:sz w:val="32"/>
          <w:szCs w:val="32"/>
        </w:rPr>
        <w:t>25</w:t>
      </w:r>
      <w:r>
        <w:rPr>
          <w:rFonts w:hint="eastAsia" w:ascii="仿宋_GB2312" w:hAnsi="仿宋_GB2312" w:eastAsia="仿宋_GB2312" w:cs="仿宋_GB2312"/>
          <w:color w:val="auto"/>
          <w:spacing w:val="-6"/>
          <w:sz w:val="32"/>
          <w:szCs w:val="32"/>
        </w:rPr>
        <w:t>公顷（226</w:t>
      </w:r>
      <w:r>
        <w:rPr>
          <w:rFonts w:ascii="仿宋_GB2312" w:hAnsi="仿宋_GB2312" w:eastAsia="仿宋_GB2312" w:cs="仿宋_GB2312"/>
          <w:color w:val="auto"/>
          <w:spacing w:val="-6"/>
          <w:sz w:val="32"/>
          <w:szCs w:val="32"/>
        </w:rPr>
        <w:t>24.99</w:t>
      </w:r>
      <w:r>
        <w:rPr>
          <w:rFonts w:hint="eastAsia" w:ascii="仿宋_GB2312" w:hAnsi="仿宋_GB2312" w:eastAsia="仿宋_GB2312" w:cs="仿宋_GB2312"/>
          <w:color w:val="auto"/>
          <w:spacing w:val="-6"/>
          <w:sz w:val="32"/>
          <w:szCs w:val="32"/>
        </w:rPr>
        <w:t>平方米，折合33.9</w:t>
      </w:r>
      <w:r>
        <w:rPr>
          <w:rFonts w:ascii="仿宋_GB2312" w:hAnsi="仿宋_GB2312" w:eastAsia="仿宋_GB2312" w:cs="仿宋_GB2312"/>
          <w:color w:val="auto"/>
          <w:spacing w:val="-6"/>
          <w:sz w:val="32"/>
          <w:szCs w:val="32"/>
        </w:rPr>
        <w:t>4</w:t>
      </w:r>
      <w:r>
        <w:rPr>
          <w:rFonts w:hint="eastAsia" w:ascii="仿宋_GB2312" w:hAnsi="仿宋_GB2312" w:eastAsia="仿宋_GB2312" w:cs="仿宋_GB2312"/>
          <w:color w:val="auto"/>
          <w:spacing w:val="-6"/>
          <w:sz w:val="32"/>
          <w:szCs w:val="32"/>
        </w:rPr>
        <w:t>亩），黄圃镇人民政府已按规定开展社会稳定风险评估，根据社会稳定风险初步评估结果，本改造项目风险等级为低风险，主要存在社会支持风险、利益相关者联合抵制风险等。</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其中，社会支持风险的防范与化解措施为：1.加大宣传力度，公开透明地发布项目改造前景、前后收益对比以及项目公开遴选市场主体等相关信息，争取获得群众理解与支持。2.重点加强与土地权属集体经济组织及其股东、现经营厂企的沟通协商，在租约清退、收益分配等方面达成一致意见。3.对于相关利益者的合法合理要求要尽量满足，对于不合理的诉求要细心解释说明，取得相关利益者的理解与支持。责任主体为黄圃镇人民政府，协助单位为黄圃镇宣传部门及综治维稳信访部门。</w:t>
      </w:r>
    </w:p>
    <w:p>
      <w:pPr>
        <w:spacing w:line="574" w:lineRule="exact"/>
        <w:ind w:firstLine="616"/>
        <w:jc w:val="both"/>
        <w:rPr>
          <w:rFonts w:ascii="仿宋_GB2312" w:hAnsi="仿宋_GB2312" w:eastAsia="仿宋_GB2312" w:cs="仿宋_GB2312"/>
          <w:b/>
          <w:color w:val="auto"/>
          <w:spacing w:val="-6"/>
          <w:sz w:val="32"/>
          <w:szCs w:val="32"/>
        </w:rPr>
      </w:pPr>
      <w:r>
        <w:rPr>
          <w:rFonts w:hint="eastAsia" w:ascii="仿宋_GB2312" w:hAnsi="仿宋_GB2312" w:eastAsia="仿宋_GB2312" w:cs="仿宋_GB2312"/>
          <w:color w:val="auto"/>
          <w:spacing w:val="-6"/>
          <w:sz w:val="32"/>
          <w:szCs w:val="32"/>
        </w:rPr>
        <w:t>利益相关者联合抵制风险的防范与化解措施为：1.项目实施须对相关利益者有益。2.项目必须广泛、深入了解大雁经联社股东的态度意见，了解他们的改造意愿以及相关诉求。3.向相关利益者耐心说明解释项目实施的利弊，必须与绝大多数相关利益者协商达成一致意见。4.要重点回应经联社股东普遍关心的返还物业等关键问题。责任主体为黄圃镇人民政府，协助单位为综治维稳信访部门、公安部门等。</w:t>
      </w:r>
    </w:p>
    <w:p>
      <w:pPr>
        <w:spacing w:line="574" w:lineRule="exact"/>
        <w:ind w:firstLine="616"/>
        <w:jc w:val="both"/>
        <w:rPr>
          <w:rFonts w:ascii="黑体" w:hAnsi="黑体" w:eastAsia="黑体" w:cs="黑体"/>
          <w:color w:val="auto"/>
          <w:spacing w:val="-6"/>
          <w:sz w:val="32"/>
          <w:szCs w:val="32"/>
        </w:rPr>
      </w:pPr>
      <w:r>
        <w:rPr>
          <w:rFonts w:hint="eastAsia" w:ascii="黑体" w:hAnsi="黑体" w:eastAsia="黑体" w:cs="黑体"/>
          <w:color w:val="auto"/>
          <w:spacing w:val="-6"/>
          <w:sz w:val="32"/>
          <w:szCs w:val="32"/>
        </w:rPr>
        <w:t>三、改造主体、需办理用地手续及拟改造情况</w:t>
      </w:r>
    </w:p>
    <w:p>
      <w:pPr>
        <w:pStyle w:val="41"/>
        <w:spacing w:line="574" w:lineRule="exact"/>
        <w:ind w:firstLine="616" w:firstLineChars="200"/>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根据有关规划要求，改造项目严格按照土地利用总体规划、控制性详细规划管控要求实施建设。</w:t>
      </w:r>
    </w:p>
    <w:p>
      <w:pPr>
        <w:pStyle w:val="41"/>
        <w:spacing w:line="574" w:lineRule="exact"/>
        <w:ind w:firstLine="616" w:firstLineChars="200"/>
        <w:jc w:val="both"/>
        <w:rPr>
          <w:rFonts w:ascii="楷体" w:hAnsi="楷体" w:eastAsia="楷体" w:cs="楷体"/>
          <w:color w:val="auto"/>
          <w:spacing w:val="-6"/>
          <w:sz w:val="32"/>
          <w:szCs w:val="32"/>
        </w:rPr>
      </w:pPr>
      <w:r>
        <w:rPr>
          <w:rFonts w:hint="eastAsia" w:ascii="楷体" w:hAnsi="楷体" w:eastAsia="楷体" w:cs="楷体"/>
          <w:color w:val="auto"/>
          <w:spacing w:val="-6"/>
          <w:sz w:val="32"/>
          <w:szCs w:val="32"/>
        </w:rPr>
        <w:t>（一）改造主体</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该改造项目属“工改工”宗地项目，拟采取村企合作改造方式，由大雁村经联社通过中山市农村集体“三资”管理服务平台以公开竞投的方式确定合作企业作为改造主体。</w:t>
      </w:r>
    </w:p>
    <w:p>
      <w:pPr>
        <w:pStyle w:val="41"/>
        <w:spacing w:line="574" w:lineRule="exact"/>
        <w:ind w:firstLine="616" w:firstLineChars="200"/>
        <w:jc w:val="both"/>
        <w:rPr>
          <w:rFonts w:ascii="楷体" w:hAnsi="楷体" w:eastAsia="楷体" w:cs="楷体"/>
          <w:color w:val="auto"/>
          <w:spacing w:val="-6"/>
          <w:sz w:val="32"/>
          <w:szCs w:val="32"/>
        </w:rPr>
      </w:pPr>
      <w:r>
        <w:rPr>
          <w:rFonts w:hint="eastAsia" w:ascii="楷体" w:hAnsi="楷体" w:eastAsia="楷体" w:cs="楷体"/>
          <w:color w:val="auto"/>
          <w:spacing w:val="-6"/>
          <w:sz w:val="32"/>
          <w:szCs w:val="32"/>
        </w:rPr>
        <w:t>（二）需办理的用地手续</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改造范围内2.26</w:t>
      </w:r>
      <w:r>
        <w:rPr>
          <w:rFonts w:ascii="仿宋_GB2312" w:hAnsi="仿宋_GB2312" w:eastAsia="仿宋_GB2312" w:cs="仿宋_GB2312"/>
          <w:color w:val="auto"/>
          <w:spacing w:val="-6"/>
          <w:sz w:val="32"/>
          <w:szCs w:val="32"/>
        </w:rPr>
        <w:t>25</w:t>
      </w:r>
      <w:r>
        <w:rPr>
          <w:rFonts w:hint="eastAsia" w:ascii="仿宋_GB2312" w:hAnsi="仿宋_GB2312" w:eastAsia="仿宋_GB2312" w:cs="仿宋_GB2312"/>
          <w:color w:val="auto"/>
          <w:spacing w:val="-6"/>
          <w:sz w:val="32"/>
          <w:szCs w:val="32"/>
        </w:rPr>
        <w:t>公顷（226</w:t>
      </w:r>
      <w:r>
        <w:rPr>
          <w:rFonts w:ascii="仿宋_GB2312" w:hAnsi="仿宋_GB2312" w:eastAsia="仿宋_GB2312" w:cs="仿宋_GB2312"/>
          <w:color w:val="auto"/>
          <w:spacing w:val="-6"/>
          <w:sz w:val="32"/>
          <w:szCs w:val="32"/>
        </w:rPr>
        <w:t>24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99</w:t>
      </w:r>
      <w:r>
        <w:rPr>
          <w:rFonts w:hint="eastAsia" w:ascii="仿宋_GB2312" w:hAnsi="仿宋_GB2312" w:eastAsia="仿宋_GB2312" w:cs="仿宋_GB2312"/>
          <w:color w:val="auto"/>
          <w:spacing w:val="-6"/>
          <w:sz w:val="32"/>
          <w:szCs w:val="32"/>
        </w:rPr>
        <w:t>平方米，折合33.9</w:t>
      </w:r>
      <w:r>
        <w:rPr>
          <w:rFonts w:ascii="仿宋_GB2312" w:hAnsi="仿宋_GB2312" w:eastAsia="仿宋_GB2312" w:cs="仿宋_GB2312"/>
          <w:color w:val="auto"/>
          <w:spacing w:val="-6"/>
          <w:sz w:val="32"/>
          <w:szCs w:val="32"/>
        </w:rPr>
        <w:t>4</w:t>
      </w:r>
      <w:r>
        <w:rPr>
          <w:rFonts w:hint="eastAsia" w:ascii="仿宋_GB2312" w:hAnsi="仿宋_GB2312" w:eastAsia="仿宋_GB2312" w:cs="仿宋_GB2312"/>
          <w:color w:val="auto"/>
          <w:spacing w:val="-6"/>
          <w:sz w:val="32"/>
          <w:szCs w:val="32"/>
        </w:rPr>
        <w:t>亩）用地需办理集体土地完善转用手续，由大雁村经联社自愿申请将该集体建设用地转为国有建设用地。上述用地完善转用、集转国手续后，依据《中山市黄圃镇大雁片区控制性详细规划调整（2022）》（中府函〔2022〕48 号）供应土地。其中，一类工业用地2.23</w:t>
      </w:r>
      <w:r>
        <w:rPr>
          <w:rFonts w:ascii="仿宋_GB2312" w:hAnsi="仿宋_GB2312" w:eastAsia="仿宋_GB2312" w:cs="仿宋_GB2312"/>
          <w:color w:val="auto"/>
          <w:spacing w:val="-6"/>
          <w:sz w:val="32"/>
          <w:szCs w:val="32"/>
        </w:rPr>
        <w:t>05</w:t>
      </w:r>
      <w:r>
        <w:rPr>
          <w:rFonts w:hint="eastAsia" w:ascii="仿宋_GB2312" w:hAnsi="仿宋_GB2312" w:eastAsia="仿宋_GB2312" w:cs="仿宋_GB2312"/>
          <w:color w:val="auto"/>
          <w:spacing w:val="-6"/>
          <w:sz w:val="32"/>
          <w:szCs w:val="32"/>
        </w:rPr>
        <w:t>公顷（223</w:t>
      </w:r>
      <w:r>
        <w:rPr>
          <w:rFonts w:ascii="仿宋_GB2312" w:hAnsi="仿宋_GB2312" w:eastAsia="仿宋_GB2312" w:cs="仿宋_GB2312"/>
          <w:color w:val="auto"/>
          <w:spacing w:val="-6"/>
          <w:sz w:val="32"/>
          <w:szCs w:val="32"/>
        </w:rPr>
        <w:t>04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98</w:t>
      </w:r>
      <w:r>
        <w:rPr>
          <w:rFonts w:hint="eastAsia" w:ascii="仿宋_GB2312" w:hAnsi="仿宋_GB2312" w:eastAsia="仿宋_GB2312" w:cs="仿宋_GB2312"/>
          <w:color w:val="auto"/>
          <w:spacing w:val="-6"/>
          <w:sz w:val="32"/>
          <w:szCs w:val="32"/>
        </w:rPr>
        <w:t>平方米，折合33.</w:t>
      </w:r>
      <w:r>
        <w:rPr>
          <w:rFonts w:ascii="仿宋_GB2312" w:hAnsi="仿宋_GB2312" w:eastAsia="仿宋_GB2312" w:cs="仿宋_GB2312"/>
          <w:color w:val="auto"/>
          <w:spacing w:val="-6"/>
          <w:sz w:val="32"/>
          <w:szCs w:val="32"/>
        </w:rPr>
        <w:t>46</w:t>
      </w:r>
      <w:r>
        <w:rPr>
          <w:rFonts w:hint="eastAsia" w:ascii="仿宋_GB2312" w:hAnsi="仿宋_GB2312" w:eastAsia="仿宋_GB2312" w:cs="仿宋_GB2312"/>
          <w:color w:val="auto"/>
          <w:spacing w:val="-6"/>
          <w:sz w:val="32"/>
          <w:szCs w:val="32"/>
        </w:rPr>
        <w:t>亩）拟按容积率2.5-3.5采用协议出让方式供地给改造主体；道路用地0.03</w:t>
      </w:r>
      <w:r>
        <w:rPr>
          <w:rFonts w:ascii="仿宋_GB2312" w:hAnsi="仿宋_GB2312" w:eastAsia="仿宋_GB2312" w:cs="仿宋_GB2312"/>
          <w:color w:val="auto"/>
          <w:spacing w:val="-6"/>
          <w:sz w:val="32"/>
          <w:szCs w:val="32"/>
        </w:rPr>
        <w:t>20</w:t>
      </w:r>
      <w:r>
        <w:rPr>
          <w:rFonts w:hint="eastAsia" w:ascii="仿宋_GB2312" w:hAnsi="仿宋_GB2312" w:eastAsia="仿宋_GB2312" w:cs="仿宋_GB2312"/>
          <w:color w:val="auto"/>
          <w:spacing w:val="-6"/>
          <w:sz w:val="32"/>
          <w:szCs w:val="32"/>
        </w:rPr>
        <w:t>公顷（3</w:t>
      </w:r>
      <w:r>
        <w:rPr>
          <w:rFonts w:ascii="仿宋_GB2312" w:hAnsi="仿宋_GB2312" w:eastAsia="仿宋_GB2312" w:cs="仿宋_GB2312"/>
          <w:color w:val="auto"/>
          <w:spacing w:val="-6"/>
          <w:sz w:val="32"/>
          <w:szCs w:val="32"/>
        </w:rPr>
        <w:t>20</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01</w:t>
      </w:r>
      <w:r>
        <w:rPr>
          <w:rFonts w:hint="eastAsia" w:ascii="仿宋_GB2312" w:hAnsi="仿宋_GB2312" w:eastAsia="仿宋_GB2312" w:cs="仿宋_GB2312"/>
          <w:color w:val="auto"/>
          <w:spacing w:val="-6"/>
          <w:sz w:val="32"/>
          <w:szCs w:val="32"/>
        </w:rPr>
        <w:t>平方米，折合0.48亩）拟划拨给黄圃镇人民政府。</w:t>
      </w:r>
    </w:p>
    <w:p>
      <w:pPr>
        <w:pStyle w:val="41"/>
        <w:spacing w:line="574" w:lineRule="exact"/>
        <w:ind w:firstLine="616" w:firstLineChars="200"/>
        <w:jc w:val="both"/>
        <w:rPr>
          <w:rFonts w:ascii="楷体" w:hAnsi="楷体" w:eastAsia="楷体" w:cs="楷体"/>
          <w:color w:val="auto"/>
          <w:spacing w:val="-6"/>
          <w:sz w:val="32"/>
          <w:szCs w:val="32"/>
        </w:rPr>
      </w:pPr>
      <w:r>
        <w:rPr>
          <w:rFonts w:hint="eastAsia" w:ascii="楷体" w:hAnsi="楷体" w:eastAsia="楷体" w:cs="楷体"/>
          <w:color w:val="auto"/>
          <w:spacing w:val="-6"/>
          <w:sz w:val="32"/>
          <w:szCs w:val="32"/>
        </w:rPr>
        <w:t>（三）拟改造情况</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改造后将用于建设工业厂房。在符合控制性详细规划的基础上，容积率不小于2.5，不保留原有建筑。</w:t>
      </w:r>
    </w:p>
    <w:p>
      <w:pPr>
        <w:spacing w:line="574" w:lineRule="exact"/>
        <w:ind w:firstLine="616"/>
        <w:jc w:val="both"/>
        <w:rPr>
          <w:rFonts w:ascii="黑体" w:hAnsi="黑体" w:eastAsia="黑体" w:cs="黑体"/>
          <w:color w:val="auto"/>
          <w:spacing w:val="-6"/>
          <w:sz w:val="32"/>
          <w:szCs w:val="32"/>
        </w:rPr>
      </w:pPr>
      <w:r>
        <w:rPr>
          <w:rFonts w:hint="eastAsia" w:ascii="仿宋_GB2312" w:hAnsi="仿宋_GB2312" w:eastAsia="仿宋_GB2312" w:cs="仿宋_GB2312"/>
          <w:color w:val="auto"/>
          <w:spacing w:val="-6"/>
          <w:sz w:val="32"/>
          <w:szCs w:val="32"/>
        </w:rPr>
        <w:t>项目相关情况须符合国家《产业结构调整指导目录》《中山市差别化环保准入促进区域发展实施细则》《中山市涉挥发性有机物项目环保准入管理规</w:t>
      </w:r>
      <w:r>
        <w:rPr>
          <w:rFonts w:hint="eastAsia" w:ascii="仿宋_GB2312" w:hAnsi="仿宋_GB2312" w:eastAsia="仿宋_GB2312" w:cs="仿宋_GB2312"/>
          <w:color w:val="auto"/>
          <w:spacing w:val="-6"/>
          <w:sz w:val="32"/>
          <w:szCs w:val="32"/>
          <w:highlight w:val="none"/>
        </w:rPr>
        <w:t>定》。改造后预计年产值将达1200万元</w:t>
      </w:r>
      <w:r>
        <w:rPr>
          <w:rFonts w:ascii="仿宋_GB2312" w:hAnsi="仿宋_GB2312" w:eastAsia="仿宋_GB2312" w:cs="仿宋_GB2312"/>
          <w:color w:val="auto"/>
          <w:spacing w:val="-6"/>
          <w:sz w:val="32"/>
          <w:szCs w:val="32"/>
          <w:highlight w:val="none"/>
        </w:rPr>
        <w:t>/亩，年税收将达</w:t>
      </w:r>
      <w:r>
        <w:rPr>
          <w:rFonts w:hint="eastAsia" w:ascii="仿宋_GB2312" w:hAnsi="仿宋_GB2312" w:eastAsia="仿宋_GB2312" w:cs="仿宋_GB2312"/>
          <w:color w:val="auto"/>
          <w:spacing w:val="-6"/>
          <w:sz w:val="32"/>
          <w:szCs w:val="32"/>
          <w:highlight w:val="none"/>
        </w:rPr>
        <w:t>50万元/亩。</w:t>
      </w:r>
    </w:p>
    <w:p>
      <w:pPr>
        <w:spacing w:line="574" w:lineRule="exact"/>
        <w:ind w:firstLine="616"/>
        <w:jc w:val="both"/>
        <w:rPr>
          <w:rFonts w:ascii="黑体" w:hAnsi="黑体" w:eastAsia="黑体" w:cs="黑体"/>
          <w:color w:val="auto"/>
          <w:spacing w:val="-6"/>
          <w:sz w:val="32"/>
          <w:szCs w:val="32"/>
        </w:rPr>
      </w:pPr>
      <w:r>
        <w:rPr>
          <w:rFonts w:hint="eastAsia" w:ascii="黑体" w:hAnsi="黑体" w:eastAsia="黑体" w:cs="黑体"/>
          <w:color w:val="auto"/>
          <w:spacing w:val="-6"/>
          <w:sz w:val="32"/>
          <w:szCs w:val="32"/>
        </w:rPr>
        <w:t>四、资金筹措</w:t>
      </w:r>
    </w:p>
    <w:p>
      <w:pPr>
        <w:spacing w:line="574" w:lineRule="exact"/>
        <w:ind w:firstLine="616"/>
        <w:jc w:val="both"/>
        <w:rPr>
          <w:rFonts w:ascii="仿宋_GB2312" w:hAnsi="仿宋_GB2312" w:eastAsia="仿宋_GB2312" w:cs="仿宋_GB2312"/>
          <w:b/>
          <w:color w:val="auto"/>
          <w:spacing w:val="-6"/>
          <w:sz w:val="32"/>
          <w:szCs w:val="32"/>
        </w:rPr>
      </w:pPr>
      <w:r>
        <w:rPr>
          <w:rFonts w:hint="eastAsia" w:ascii="仿宋_GB2312" w:hAnsi="仿宋_GB2312" w:eastAsia="仿宋_GB2312" w:cs="仿宋_GB2312"/>
          <w:color w:val="auto"/>
          <w:spacing w:val="-6"/>
          <w:sz w:val="32"/>
          <w:szCs w:val="32"/>
        </w:rPr>
        <w:t>项目改造成本为26119.97万元，协议出让的2.23</w:t>
      </w:r>
      <w:r>
        <w:rPr>
          <w:rFonts w:ascii="仿宋_GB2312" w:hAnsi="仿宋_GB2312" w:eastAsia="仿宋_GB2312" w:cs="仿宋_GB2312"/>
          <w:color w:val="auto"/>
          <w:spacing w:val="-6"/>
          <w:sz w:val="32"/>
          <w:szCs w:val="32"/>
        </w:rPr>
        <w:t>05</w:t>
      </w:r>
      <w:r>
        <w:rPr>
          <w:rFonts w:hint="eastAsia" w:ascii="仿宋_GB2312" w:hAnsi="仿宋_GB2312" w:eastAsia="仿宋_GB2312" w:cs="仿宋_GB2312"/>
          <w:color w:val="auto"/>
          <w:spacing w:val="-6"/>
          <w:sz w:val="32"/>
          <w:szCs w:val="32"/>
        </w:rPr>
        <w:t>公顷（223</w:t>
      </w:r>
      <w:r>
        <w:rPr>
          <w:rFonts w:ascii="仿宋_GB2312" w:hAnsi="仿宋_GB2312" w:eastAsia="仿宋_GB2312" w:cs="仿宋_GB2312"/>
          <w:color w:val="auto"/>
          <w:spacing w:val="-6"/>
          <w:sz w:val="32"/>
          <w:szCs w:val="32"/>
        </w:rPr>
        <w:t>04</w:t>
      </w:r>
      <w:r>
        <w:rPr>
          <w:rFonts w:hint="eastAsia" w:ascii="仿宋_GB2312" w:hAnsi="仿宋_GB2312" w:eastAsia="仿宋_GB2312" w:cs="仿宋_GB2312"/>
          <w:color w:val="auto"/>
          <w:spacing w:val="-6"/>
          <w:sz w:val="32"/>
          <w:szCs w:val="32"/>
        </w:rPr>
        <w:t>.</w:t>
      </w:r>
      <w:r>
        <w:rPr>
          <w:rFonts w:ascii="仿宋_GB2312" w:hAnsi="仿宋_GB2312" w:eastAsia="仿宋_GB2312" w:cs="仿宋_GB2312"/>
          <w:color w:val="auto"/>
          <w:spacing w:val="-6"/>
          <w:sz w:val="32"/>
          <w:szCs w:val="32"/>
        </w:rPr>
        <w:t>98</w:t>
      </w:r>
      <w:r>
        <w:rPr>
          <w:rFonts w:hint="eastAsia" w:ascii="仿宋_GB2312" w:hAnsi="仿宋_GB2312" w:eastAsia="仿宋_GB2312" w:cs="仿宋_GB2312"/>
          <w:color w:val="auto"/>
          <w:spacing w:val="-6"/>
          <w:sz w:val="32"/>
          <w:szCs w:val="32"/>
        </w:rPr>
        <w:t>平方米，折合33.</w:t>
      </w:r>
      <w:r>
        <w:rPr>
          <w:rFonts w:ascii="仿宋_GB2312" w:hAnsi="仿宋_GB2312" w:eastAsia="仿宋_GB2312" w:cs="仿宋_GB2312"/>
          <w:color w:val="auto"/>
          <w:spacing w:val="-6"/>
          <w:sz w:val="32"/>
          <w:szCs w:val="32"/>
        </w:rPr>
        <w:t>46</w:t>
      </w:r>
      <w:r>
        <w:rPr>
          <w:rFonts w:hint="eastAsia" w:ascii="仿宋_GB2312" w:hAnsi="仿宋_GB2312" w:eastAsia="仿宋_GB2312" w:cs="仿宋_GB2312"/>
          <w:color w:val="auto"/>
          <w:spacing w:val="-6"/>
          <w:sz w:val="32"/>
          <w:szCs w:val="32"/>
        </w:rPr>
        <w:t>亩）一类工业用地，拟由改造主体投入资金约为26119.97万元，计划不分期投入，以上数据以最终实际发生为准。</w:t>
      </w:r>
    </w:p>
    <w:p>
      <w:pPr>
        <w:spacing w:line="574" w:lineRule="exact"/>
        <w:ind w:firstLine="616"/>
        <w:jc w:val="both"/>
        <w:rPr>
          <w:rFonts w:ascii="黑体" w:hAnsi="黑体" w:eastAsia="黑体" w:cs="黑体"/>
          <w:color w:val="auto"/>
          <w:spacing w:val="-6"/>
          <w:sz w:val="32"/>
          <w:szCs w:val="32"/>
        </w:rPr>
      </w:pPr>
      <w:r>
        <w:rPr>
          <w:rFonts w:hint="eastAsia" w:ascii="黑体" w:hAnsi="黑体" w:eastAsia="黑体" w:cs="黑体"/>
          <w:color w:val="auto"/>
          <w:spacing w:val="-6"/>
          <w:sz w:val="32"/>
          <w:szCs w:val="32"/>
        </w:rPr>
        <w:t>五、开发时序</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eastAsia="仿宋_GB2312"/>
          <w:color w:val="auto"/>
          <w:sz w:val="32"/>
          <w:szCs w:val="32"/>
        </w:rPr>
        <w:t>项目地块开发周期为</w:t>
      </w:r>
      <w:r>
        <w:rPr>
          <w:rFonts w:ascii="仿宋_GB2312" w:eastAsia="仿宋_GB2312"/>
          <w:color w:val="auto"/>
          <w:sz w:val="32"/>
          <w:szCs w:val="32"/>
          <w:highlight w:val="none"/>
        </w:rPr>
        <w:t>2</w:t>
      </w:r>
      <w:r>
        <w:rPr>
          <w:rFonts w:hint="eastAsia" w:ascii="仿宋_GB2312" w:eastAsia="仿宋_GB2312"/>
          <w:color w:val="auto"/>
          <w:sz w:val="32"/>
          <w:szCs w:val="32"/>
        </w:rPr>
        <w:t>年，</w:t>
      </w:r>
      <w:r>
        <w:rPr>
          <w:rFonts w:hint="eastAsia" w:ascii="仿宋_GB2312" w:hAnsi="仿宋_GB2312" w:eastAsia="仿宋_GB2312" w:cs="仿宋_GB2312"/>
          <w:color w:val="auto"/>
          <w:spacing w:val="-6"/>
          <w:sz w:val="32"/>
          <w:szCs w:val="32"/>
        </w:rPr>
        <w:t>自签订出让合同之日起</w:t>
      </w:r>
      <w:r>
        <w:rPr>
          <w:rFonts w:ascii="仿宋_GB2312" w:hAnsi="仿宋_GB2312" w:eastAsia="仿宋_GB2312" w:cs="仿宋_GB2312"/>
          <w:color w:val="auto"/>
          <w:spacing w:val="-6"/>
          <w:sz w:val="32"/>
          <w:szCs w:val="32"/>
        </w:rPr>
        <w:t xml:space="preserve"> </w:t>
      </w:r>
      <w:r>
        <w:rPr>
          <w:rFonts w:hint="eastAsia" w:ascii="仿宋_GB2312" w:hAnsi="仿宋_GB2312" w:eastAsia="仿宋_GB2312" w:cs="仿宋_GB2312"/>
          <w:color w:val="auto"/>
          <w:spacing w:val="-6"/>
          <w:sz w:val="32"/>
          <w:szCs w:val="32"/>
        </w:rPr>
        <w:t>24</w:t>
      </w:r>
      <w:r>
        <w:rPr>
          <w:rFonts w:ascii="仿宋_GB2312" w:hAnsi="仿宋_GB2312" w:eastAsia="仿宋_GB2312" w:cs="仿宋_GB2312"/>
          <w:color w:val="auto"/>
          <w:spacing w:val="-6"/>
          <w:sz w:val="32"/>
          <w:szCs w:val="32"/>
        </w:rPr>
        <w:t>个月</w:t>
      </w:r>
      <w:r>
        <w:rPr>
          <w:rFonts w:hint="eastAsia" w:ascii="仿宋_GB2312" w:hAnsi="仿宋_GB2312" w:eastAsia="仿宋_GB2312" w:cs="仿宋_GB2312"/>
          <w:color w:val="auto"/>
          <w:spacing w:val="-6"/>
          <w:sz w:val="32"/>
          <w:szCs w:val="32"/>
        </w:rPr>
        <w:t>内竣工，不分期投入，主要实施建设工业厂房和无偿移交村集体物业等。具体开发时间、建设内容以签订的土地使用权出让合同、合作协议及移交物业开发协议等相关约定为准。</w:t>
      </w:r>
    </w:p>
    <w:p>
      <w:pPr>
        <w:spacing w:line="574" w:lineRule="exact"/>
        <w:ind w:firstLine="616"/>
        <w:jc w:val="both"/>
        <w:rPr>
          <w:rFonts w:ascii="黑体" w:hAnsi="黑体" w:eastAsia="黑体" w:cs="黑体"/>
          <w:color w:val="auto"/>
          <w:spacing w:val="-6"/>
          <w:sz w:val="32"/>
          <w:szCs w:val="32"/>
        </w:rPr>
      </w:pPr>
      <w:r>
        <w:rPr>
          <w:rFonts w:hint="eastAsia" w:ascii="黑体" w:hAnsi="黑体" w:eastAsia="黑体" w:cs="黑体"/>
          <w:color w:val="auto"/>
          <w:spacing w:val="-6"/>
          <w:sz w:val="32"/>
          <w:szCs w:val="32"/>
        </w:rPr>
        <w:t>六、实施监督</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改造主体应当按规定与黄圃镇政府签订项目实施监管协议，并按合作协议、监管协议约定实施改造。</w:t>
      </w:r>
    </w:p>
    <w:p>
      <w:pPr>
        <w:spacing w:line="574" w:lineRule="exact"/>
        <w:ind w:firstLine="616"/>
        <w:jc w:val="both"/>
        <w:rPr>
          <w:rFonts w:ascii="仿宋_GB2312" w:hAnsi="仿宋_GB2312" w:eastAsia="仿宋_GB2312" w:cs="仿宋_GB2312"/>
          <w:bCs/>
          <w:color w:val="auto"/>
          <w:spacing w:val="-6"/>
          <w:sz w:val="32"/>
          <w:szCs w:val="32"/>
        </w:rPr>
      </w:pPr>
      <w:r>
        <w:rPr>
          <w:rFonts w:hint="eastAsia" w:ascii="仿宋_GB2312" w:hAnsi="仿宋_GB2312" w:eastAsia="仿宋_GB2312" w:cs="仿宋_GB2312"/>
          <w:color w:val="auto"/>
          <w:spacing w:val="-6"/>
          <w:sz w:val="32"/>
          <w:szCs w:val="32"/>
        </w:rPr>
        <w:t>改造主体需在协议出让的一类工业用地内建设证载建筑面积不少于15500平方米的工业厂房以及相应配套的汽车车位（具体数量以技术规范要求为准），在竣工验收合格并完成物业确权</w:t>
      </w:r>
      <w:r>
        <w:rPr>
          <w:rFonts w:hint="eastAsia" w:ascii="仿宋_GB2312" w:hAnsi="仿宋_GB2312" w:eastAsia="仿宋_GB2312" w:cs="仿宋_GB2312"/>
          <w:bCs/>
          <w:color w:val="auto"/>
          <w:spacing w:val="-6"/>
          <w:sz w:val="32"/>
          <w:szCs w:val="32"/>
        </w:rPr>
        <w:t>等相关手续，无偿移交给</w:t>
      </w:r>
      <w:r>
        <w:rPr>
          <w:rFonts w:hint="eastAsia" w:ascii="仿宋_GB2312" w:hAnsi="仿宋_GB2312" w:eastAsia="仿宋_GB2312" w:cs="仿宋_GB2312"/>
          <w:color w:val="auto"/>
          <w:spacing w:val="-6"/>
          <w:sz w:val="32"/>
          <w:szCs w:val="32"/>
        </w:rPr>
        <w:t>大雁村经联社，同时按照相关规定缴纳税费。</w:t>
      </w:r>
    </w:p>
    <w:p>
      <w:pPr>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地块建设投资强度须不低于600万元/亩，自达产年</w:t>
      </w:r>
      <w:r>
        <w:rPr>
          <w:rStyle w:val="28"/>
          <w:rFonts w:hint="eastAsia" w:ascii="仿宋_GB2312" w:hAnsi="仿宋_GB2312" w:eastAsia="仿宋_GB2312" w:cs="仿宋_GB2312"/>
          <w:color w:val="auto"/>
          <w:spacing w:val="-6"/>
          <w:sz w:val="32"/>
          <w:szCs w:val="32"/>
        </w:rPr>
        <w:footnoteReference w:id="0"/>
      </w:r>
      <w:r>
        <w:rPr>
          <w:rFonts w:hint="eastAsia" w:ascii="仿宋_GB2312" w:hAnsi="仿宋_GB2312" w:eastAsia="仿宋_GB2312" w:cs="仿宋_GB2312"/>
          <w:color w:val="auto"/>
          <w:spacing w:val="-6"/>
          <w:sz w:val="32"/>
          <w:szCs w:val="32"/>
        </w:rPr>
        <w:t>起五年内有三年所产生的年产值须不低于1200万元/亩，所产生的年税收自达产年起五年内有三年须不低于50万元/亩。以上指标核定均以协议出让的一类工业用地面积计算。</w:t>
      </w:r>
    </w:p>
    <w:p>
      <w:pPr>
        <w:widowControl w:val="0"/>
        <w:spacing w:line="574" w:lineRule="exact"/>
        <w:ind w:firstLine="616"/>
        <w:jc w:val="both"/>
        <w:rPr>
          <w:rFonts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改造主体未依约依规实施改造的，按合作协议、监管协议约定承担相应责任。</w:t>
      </w:r>
    </w:p>
    <w:p>
      <w:pPr>
        <w:pStyle w:val="2"/>
        <w:ind w:firstLine="562"/>
        <w:rPr>
          <w:color w:val="auto"/>
        </w:rPr>
      </w:pPr>
    </w:p>
    <w:p>
      <w:pPr>
        <w:ind w:firstLine="480"/>
        <w:rPr>
          <w:color w:val="auto"/>
        </w:rPr>
      </w:pPr>
    </w:p>
    <w:p>
      <w:pPr>
        <w:ind w:firstLine="480"/>
        <w:rPr>
          <w:color w:val="auto"/>
        </w:rPr>
      </w:pPr>
    </w:p>
    <w:p>
      <w:pPr>
        <w:ind w:firstLine="562"/>
        <w:jc w:val="both"/>
        <w:rPr>
          <w:rFonts w:ascii="黑体" w:hAnsi="黑体" w:eastAsia="黑体"/>
          <w:b/>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2098" w:right="1274" w:bottom="2098" w:left="1587" w:header="851" w:footer="992" w:gutter="0"/>
          <w:cols w:space="425" w:num="1"/>
          <w:docGrid w:type="lines" w:linePitch="326" w:charSpace="0"/>
        </w:sectPr>
      </w:pPr>
    </w:p>
    <w:p>
      <w:pPr>
        <w:spacing w:before="120" w:after="100" w:afterAutospacing="1"/>
        <w:ind w:firstLine="360"/>
        <w:jc w:val="center"/>
        <w:rPr>
          <w:rFonts w:ascii="仿宋_GB2312" w:hAnsi="仿宋_GB2312" w:eastAsia="仿宋_GB2312" w:cs="仿宋_GB2312"/>
          <w:color w:val="auto"/>
          <w:spacing w:val="-6"/>
          <w:sz w:val="32"/>
          <w:szCs w:val="32"/>
        </w:rPr>
      </w:pPr>
      <w:r>
        <w:rPr>
          <w:rFonts w:ascii="Arial" w:hAnsi="Arial" w:cs="Arial"/>
          <w:color w:val="auto"/>
          <w:szCs w:val="24"/>
        </w:rPr>
        <mc:AlternateContent>
          <mc:Choice Requires="wps">
            <w:drawing>
              <wp:anchor distT="0" distB="0" distL="114300" distR="114300" simplePos="0" relativeHeight="251661312" behindDoc="0" locked="0" layoutInCell="1" allowOverlap="1">
                <wp:simplePos x="0" y="0"/>
                <wp:positionH relativeFrom="margin">
                  <wp:posOffset>3810</wp:posOffset>
                </wp:positionH>
                <wp:positionV relativeFrom="paragraph">
                  <wp:posOffset>-283210</wp:posOffset>
                </wp:positionV>
                <wp:extent cx="2197735" cy="307340"/>
                <wp:effectExtent l="0" t="0" r="12065" b="16510"/>
                <wp:wrapNone/>
                <wp:docPr id="199" name="文本框 199"/>
                <wp:cNvGraphicFramePr/>
                <a:graphic xmlns:a="http://schemas.openxmlformats.org/drawingml/2006/main">
                  <a:graphicData uri="http://schemas.microsoft.com/office/word/2010/wordprocessingShape">
                    <wps:wsp>
                      <wps:cNvSpPr txBox="1"/>
                      <wps:spPr>
                        <a:xfrm>
                          <a:off x="0" y="0"/>
                          <a:ext cx="2197735" cy="307340"/>
                        </a:xfrm>
                        <a:prstGeom prst="rect">
                          <a:avLst/>
                        </a:prstGeom>
                        <a:solidFill>
                          <a:sysClr val="window" lastClr="FFFFFF"/>
                        </a:solidFill>
                        <a:ln w="6350">
                          <a:noFill/>
                        </a:ln>
                      </wps:spPr>
                      <wps:txbx>
                        <w:txbxContent>
                          <w:p>
                            <w:pPr>
                              <w:spacing w:line="240" w:lineRule="auto"/>
                              <w:ind w:firstLine="0" w:firstLineChars="0"/>
                              <w:rPr>
                                <w:rFonts w:hint="default" w:ascii="宋体" w:hAnsi="宋体" w:eastAsia="宋体"/>
                                <w:lang w:val="en-US" w:eastAsia="zh-CN"/>
                              </w:rPr>
                            </w:pPr>
                            <w:r>
                              <w:rPr>
                                <w:rFonts w:hint="eastAsia" w:ascii="宋体" w:hAnsi="宋体"/>
                                <w:lang w:val="en-US" w:eastAsia="zh-CN"/>
                              </w:rPr>
                              <w:t>改造方案效果示意图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pt;margin-top:-22.3pt;height:24.2pt;width:173.05pt;mso-position-horizontal-relative:margin;z-index:251661312;mso-width-relative:page;mso-height-relative:page;" fillcolor="#FFFFFF" filled="t" stroked="f" coordsize="21600,21600" o:gfxdata="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aXTBPRAAAA&#10;BgEAAA8AAAAAAAAAAQAgAAAAIgAAAGRycy9kb3ducmV2LnhtbFBLAQIUABQAAAAIAIdO4kAlzYhX&#10;XQIAAKMEAAAOAAAAAAAAAAEAIAAAACABAABkcnMvZTJvRG9jLnhtbFBLBQYAAAAABgAGAFkBAADv&#10;BQAAAAA=&#10;">
                <v:fill on="t" focussize="0,0"/>
                <v:stroke on="f" weight="0.5pt"/>
                <v:imagedata o:title=""/>
                <o:lock v:ext="edit" aspectratio="f"/>
                <v:textbox>
                  <w:txbxContent>
                    <w:p>
                      <w:pPr>
                        <w:spacing w:line="240" w:lineRule="auto"/>
                        <w:ind w:firstLine="0" w:firstLineChars="0"/>
                        <w:rPr>
                          <w:rFonts w:hint="default" w:ascii="宋体" w:hAnsi="宋体" w:eastAsia="宋体"/>
                          <w:lang w:val="en-US" w:eastAsia="zh-CN"/>
                        </w:rPr>
                      </w:pPr>
                      <w:r>
                        <w:rPr>
                          <w:rFonts w:hint="eastAsia" w:ascii="宋体" w:hAnsi="宋体"/>
                          <w:lang w:val="en-US" w:eastAsia="zh-CN"/>
                        </w:rPr>
                        <w:t>改造方案效果示意图</w:t>
                      </w:r>
                    </w:p>
                  </w:txbxContent>
                </v:textbox>
              </v:shape>
            </w:pict>
          </mc:Fallback>
        </mc:AlternateContent>
      </w:r>
      <w:r>
        <w:rPr>
          <w:rFonts w:ascii="Arial" w:hAnsi="Arial" w:cs="Arial"/>
          <w:color w:val="auto"/>
          <w:szCs w:val="24"/>
        </w:rPr>
        <w:drawing>
          <wp:inline distT="0" distB="0" distL="0" distR="0">
            <wp:extent cx="7838440" cy="554482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838440" cy="5544820"/>
                    </a:xfrm>
                    <a:prstGeom prst="rect">
                      <a:avLst/>
                    </a:prstGeom>
                  </pic:spPr>
                </pic:pic>
              </a:graphicData>
            </a:graphic>
          </wp:inline>
        </w:drawing>
      </w:r>
      <w:r>
        <w:rPr>
          <w:rFonts w:ascii="Arial" w:hAnsi="Arial" w:cs="Arial"/>
          <w:color w:val="auto"/>
          <w:szCs w:val="24"/>
        </w:rPr>
        <w:drawing>
          <wp:inline distT="0" distB="0" distL="0" distR="0">
            <wp:extent cx="7838440" cy="554482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838440" cy="5544820"/>
                    </a:xfrm>
                    <a:prstGeom prst="rect">
                      <a:avLst/>
                    </a:prstGeom>
                  </pic:spPr>
                </pic:pic>
              </a:graphicData>
            </a:graphic>
          </wp:inline>
        </w:drawing>
      </w:r>
      <w:r>
        <w:rPr>
          <w:rFonts w:ascii="Arial" w:hAnsi="Arial" w:cs="Arial"/>
          <w:color w:val="auto"/>
          <w:szCs w:val="24"/>
        </w:rPr>
        <w:drawing>
          <wp:inline distT="0" distB="0" distL="0" distR="0">
            <wp:extent cx="7838440" cy="554482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38440" cy="5544820"/>
                    </a:xfrm>
                    <a:prstGeom prst="rect">
                      <a:avLst/>
                    </a:prstGeom>
                  </pic:spPr>
                </pic:pic>
              </a:graphicData>
            </a:graphic>
          </wp:inline>
        </w:drawing>
      </w:r>
      <w:r>
        <w:rPr>
          <w:rFonts w:ascii="Arial" w:hAnsi="Arial" w:cs="Arial"/>
          <w:color w:val="auto"/>
          <w:szCs w:val="24"/>
        </w:rPr>
        <w:drawing>
          <wp:inline distT="0" distB="0" distL="0" distR="0">
            <wp:extent cx="7838440" cy="554482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38440" cy="5544820"/>
                    </a:xfrm>
                    <a:prstGeom prst="rect">
                      <a:avLst/>
                    </a:prstGeom>
                  </pic:spPr>
                </pic:pic>
              </a:graphicData>
            </a:graphic>
          </wp:inline>
        </w:drawing>
      </w:r>
      <w:r>
        <w:rPr>
          <w:rFonts w:ascii="Arial" w:hAnsi="Arial" w:cs="Arial"/>
          <w:color w:val="auto"/>
          <w:szCs w:val="24"/>
        </w:rPr>
        <mc:AlternateContent>
          <mc:Choice Requires="wps">
            <w:drawing>
              <wp:anchor distT="0" distB="0" distL="114300" distR="114300" simplePos="0" relativeHeight="251662336" behindDoc="0" locked="0" layoutInCell="1" allowOverlap="1">
                <wp:simplePos x="0" y="0"/>
                <wp:positionH relativeFrom="margin">
                  <wp:posOffset>112395</wp:posOffset>
                </wp:positionH>
                <wp:positionV relativeFrom="paragraph">
                  <wp:posOffset>-292735</wp:posOffset>
                </wp:positionV>
                <wp:extent cx="2197735" cy="307340"/>
                <wp:effectExtent l="0" t="0" r="12065" b="16510"/>
                <wp:wrapNone/>
                <wp:docPr id="1" name="文本框 1"/>
                <wp:cNvGraphicFramePr/>
                <a:graphic xmlns:a="http://schemas.openxmlformats.org/drawingml/2006/main">
                  <a:graphicData uri="http://schemas.microsoft.com/office/word/2010/wordprocessingShape">
                    <wps:wsp>
                      <wps:cNvSpPr txBox="1"/>
                      <wps:spPr>
                        <a:xfrm>
                          <a:off x="0" y="0"/>
                          <a:ext cx="2197735" cy="307340"/>
                        </a:xfrm>
                        <a:prstGeom prst="rect">
                          <a:avLst/>
                        </a:prstGeom>
                        <a:solidFill>
                          <a:sysClr val="window" lastClr="FFFFFF"/>
                        </a:solidFill>
                        <a:ln w="6350">
                          <a:noFill/>
                        </a:ln>
                      </wps:spPr>
                      <wps:txbx>
                        <w:txbxContent>
                          <w:p>
                            <w:pPr>
                              <w:spacing w:line="240" w:lineRule="auto"/>
                              <w:ind w:firstLine="0" w:firstLineChars="0"/>
                              <w:rPr>
                                <w:rFonts w:hint="default" w:ascii="宋体" w:hAnsi="宋体" w:eastAsia="宋体"/>
                                <w:lang w:val="en-US" w:eastAsia="zh-CN"/>
                              </w:rPr>
                            </w:pPr>
                            <w:r>
                              <w:rPr>
                                <w:rFonts w:hint="eastAsia" w:ascii="宋体" w:hAnsi="宋体"/>
                                <w:lang w:val="en-US" w:eastAsia="zh-CN"/>
                              </w:rPr>
                              <w:t>改造方案总平面示意图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85pt;margin-top:-23.05pt;height:24.2pt;width:173.05pt;mso-position-horizontal-relative:margin;z-index:251662336;mso-width-relative:page;mso-height-relative:page;" fillcolor="#FFFFFF" filled="t" stroked="f" coordsize="21600,21600" o:gfxdata="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YpM/7UAAAA&#10;CAEAAA8AAAAAAAAAAQAgAAAAIgAAAGRycy9kb3ducmV2LnhtbFBLAQIUABQAAAAIAIdO4kAn5DZV&#10;WgIAAJ8EAAAOAAAAAAAAAAEAIAAAACMBAABkcnMvZTJvRG9jLnhtbFBLBQYAAAAABgAGAFkBAADv&#10;BQAAAAA=&#10;">
                <v:fill on="t" focussize="0,0"/>
                <v:stroke on="f" weight="0.5pt"/>
                <v:imagedata o:title=""/>
                <o:lock v:ext="edit" aspectratio="f"/>
                <v:textbox>
                  <w:txbxContent>
                    <w:p>
                      <w:pPr>
                        <w:spacing w:line="240" w:lineRule="auto"/>
                        <w:ind w:firstLine="0" w:firstLineChars="0"/>
                        <w:rPr>
                          <w:rFonts w:hint="default" w:ascii="宋体" w:hAnsi="宋体" w:eastAsia="宋体"/>
                          <w:lang w:val="en-US" w:eastAsia="zh-CN"/>
                        </w:rPr>
                      </w:pPr>
                      <w:r>
                        <w:rPr>
                          <w:rFonts w:hint="eastAsia" w:ascii="宋体" w:hAnsi="宋体"/>
                          <w:lang w:val="en-US" w:eastAsia="zh-CN"/>
                        </w:rPr>
                        <w:t>改造方案总平面示意图</w:t>
                      </w:r>
                    </w:p>
                  </w:txbxContent>
                </v:textbox>
              </v:shape>
            </w:pict>
          </mc:Fallback>
        </mc:AlternateContent>
      </w:r>
      <w:r>
        <w:rPr>
          <w:rFonts w:ascii="Arial" w:hAnsi="Arial" w:cs="Arial"/>
          <w:color w:val="auto"/>
          <w:szCs w:val="24"/>
        </w:rPr>
        <w:drawing>
          <wp:inline distT="0" distB="0" distL="0" distR="0">
            <wp:extent cx="7823200" cy="5544820"/>
            <wp:effectExtent l="0" t="0" r="635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23200" cy="5544820"/>
                    </a:xfrm>
                    <a:prstGeom prst="rect">
                      <a:avLst/>
                    </a:prstGeom>
                  </pic:spPr>
                </pic:pic>
              </a:graphicData>
            </a:graphic>
          </wp:inline>
        </w:drawing>
      </w:r>
      <w:bookmarkStart w:id="0" w:name="_GoBack"/>
      <w:bookmarkEnd w:id="0"/>
      <w:r>
        <w:rPr>
          <w:rFonts w:ascii="Arial" w:hAnsi="Arial" w:cs="Arial"/>
          <w:color w:val="auto"/>
          <w:szCs w:val="24"/>
        </w:rPr>
        <w:drawing>
          <wp:inline distT="0" distB="0" distL="0" distR="0">
            <wp:extent cx="7823200" cy="5544820"/>
            <wp:effectExtent l="0" t="0" r="635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823200" cy="5544820"/>
                    </a:xfrm>
                    <a:prstGeom prst="rect">
                      <a:avLst/>
                    </a:prstGeom>
                  </pic:spPr>
                </pic:pic>
              </a:graphicData>
            </a:graphic>
          </wp:inline>
        </w:drawing>
      </w:r>
    </w:p>
    <w:sectPr>
      <w:headerReference r:id="rId11" w:type="default"/>
      <w:footerReference r:id="rId12" w:type="default"/>
      <w:pgSz w:w="16838" w:h="11906" w:orient="landscape"/>
      <w:pgMar w:top="1587" w:right="2098" w:bottom="1587" w:left="2098"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2010601030101010101"/>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ind w:firstLine="36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pPr>
                      <w:pStyle w:val="16"/>
                      <w:ind w:firstLine="360"/>
                    </w:pPr>
                    <w:r>
                      <w:fldChar w:fldCharType="begin"/>
                    </w:r>
                    <w:r>
                      <w:instrText xml:space="preserve"> PAGE  \* MERGEFORMAT </w:instrText>
                    </w:r>
                    <w:r>
                      <w:fldChar w:fldCharType="separate"/>
                    </w:r>
                    <w:r>
                      <w:t>27</w:t>
                    </w:r>
                    <w:r>
                      <w:fldChar w:fldCharType="end"/>
                    </w:r>
                  </w:p>
                </w:txbxContent>
              </v:textbox>
            </v:shape>
          </w:pict>
        </mc:Fallback>
      </mc:AlternateContent>
    </w:r>
  </w:p>
  <w:p>
    <w:pPr>
      <w:ind w:left="480" w:firstLine="0" w:firstLineChars="0"/>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pPr>
        <w:spacing w:line="360" w:lineRule="auto"/>
        <w:ind w:firstLine="480"/>
      </w:pPr>
      <w:r>
        <w:separator/>
      </w:r>
    </w:p>
  </w:footnote>
  <w:footnote w:type="continuationSeparator" w:id="3">
    <w:p>
      <w:pPr>
        <w:spacing w:line="360" w:lineRule="auto"/>
        <w:ind w:firstLine="480"/>
      </w:pPr>
      <w:r>
        <w:continuationSeparator/>
      </w:r>
    </w:p>
  </w:footnote>
  <w:footnote w:id="0">
    <w:p>
      <w:pPr>
        <w:pStyle w:val="19"/>
        <w:ind w:firstLine="360"/>
      </w:pPr>
      <w:r>
        <w:rPr>
          <w:rStyle w:val="28"/>
        </w:rPr>
        <w:footnoteRef/>
      </w:r>
      <w:r>
        <w:t xml:space="preserve"> </w:t>
      </w:r>
      <w:r>
        <w:rPr>
          <w:rFonts w:hint="eastAsia"/>
        </w:rPr>
        <w:t>达产年，是指协议出让地块约定的全部工程竣工时限节点起算的第 3 年当年。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FBF9B4"/>
    <w:multiLevelType w:val="singleLevel"/>
    <w:tmpl w:val="DCFBF9B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2"/>
    <w:footnote w:id="3"/>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yMjA0NzU2OGQ0NjljNWY3MTJiNzY1NTk1NmNiNDAifQ=="/>
  </w:docVars>
  <w:rsids>
    <w:rsidRoot w:val="002F62F3"/>
    <w:rsid w:val="000005DC"/>
    <w:rsid w:val="00001355"/>
    <w:rsid w:val="00002385"/>
    <w:rsid w:val="00002691"/>
    <w:rsid w:val="0000305A"/>
    <w:rsid w:val="000121B5"/>
    <w:rsid w:val="00013467"/>
    <w:rsid w:val="00014EBB"/>
    <w:rsid w:val="00015357"/>
    <w:rsid w:val="00020487"/>
    <w:rsid w:val="00030C0D"/>
    <w:rsid w:val="00036572"/>
    <w:rsid w:val="0003712D"/>
    <w:rsid w:val="00043002"/>
    <w:rsid w:val="00044DC5"/>
    <w:rsid w:val="00065B5E"/>
    <w:rsid w:val="00067AAB"/>
    <w:rsid w:val="0007075A"/>
    <w:rsid w:val="0007257A"/>
    <w:rsid w:val="0007513A"/>
    <w:rsid w:val="00076E5D"/>
    <w:rsid w:val="00084DA8"/>
    <w:rsid w:val="00087904"/>
    <w:rsid w:val="000922D6"/>
    <w:rsid w:val="00095384"/>
    <w:rsid w:val="000955CD"/>
    <w:rsid w:val="0009775F"/>
    <w:rsid w:val="000A44B0"/>
    <w:rsid w:val="000C2EFC"/>
    <w:rsid w:val="000C6D61"/>
    <w:rsid w:val="000C6DCD"/>
    <w:rsid w:val="000C7B05"/>
    <w:rsid w:val="000D1127"/>
    <w:rsid w:val="000D162E"/>
    <w:rsid w:val="000D4CF7"/>
    <w:rsid w:val="000E1AF5"/>
    <w:rsid w:val="000E1EC3"/>
    <w:rsid w:val="000E45B9"/>
    <w:rsid w:val="000E607C"/>
    <w:rsid w:val="000E6C15"/>
    <w:rsid w:val="000F19A2"/>
    <w:rsid w:val="000F5321"/>
    <w:rsid w:val="000F69DB"/>
    <w:rsid w:val="001023F3"/>
    <w:rsid w:val="00104A41"/>
    <w:rsid w:val="001050BB"/>
    <w:rsid w:val="00106857"/>
    <w:rsid w:val="001148C6"/>
    <w:rsid w:val="001152E4"/>
    <w:rsid w:val="00116AE3"/>
    <w:rsid w:val="00122A76"/>
    <w:rsid w:val="00125196"/>
    <w:rsid w:val="00126D67"/>
    <w:rsid w:val="001431DC"/>
    <w:rsid w:val="001443C3"/>
    <w:rsid w:val="00144C96"/>
    <w:rsid w:val="001455D0"/>
    <w:rsid w:val="001665BB"/>
    <w:rsid w:val="00171FA0"/>
    <w:rsid w:val="001749A4"/>
    <w:rsid w:val="00180AAA"/>
    <w:rsid w:val="00181D61"/>
    <w:rsid w:val="00181EA4"/>
    <w:rsid w:val="00182155"/>
    <w:rsid w:val="00192500"/>
    <w:rsid w:val="00194DDB"/>
    <w:rsid w:val="001A0678"/>
    <w:rsid w:val="001A2473"/>
    <w:rsid w:val="001A71A4"/>
    <w:rsid w:val="001B12A8"/>
    <w:rsid w:val="001B24F0"/>
    <w:rsid w:val="001B406F"/>
    <w:rsid w:val="001B46F4"/>
    <w:rsid w:val="001B514B"/>
    <w:rsid w:val="001B51B2"/>
    <w:rsid w:val="001B65E7"/>
    <w:rsid w:val="001B7C56"/>
    <w:rsid w:val="001C0B5F"/>
    <w:rsid w:val="001C116C"/>
    <w:rsid w:val="001C4465"/>
    <w:rsid w:val="001C515F"/>
    <w:rsid w:val="001C567B"/>
    <w:rsid w:val="001E395F"/>
    <w:rsid w:val="001E3C8C"/>
    <w:rsid w:val="001F29B4"/>
    <w:rsid w:val="001F5321"/>
    <w:rsid w:val="00200257"/>
    <w:rsid w:val="00203614"/>
    <w:rsid w:val="00205594"/>
    <w:rsid w:val="002178D5"/>
    <w:rsid w:val="002255ED"/>
    <w:rsid w:val="00225E9E"/>
    <w:rsid w:val="00233836"/>
    <w:rsid w:val="002363F9"/>
    <w:rsid w:val="002402C0"/>
    <w:rsid w:val="00241E95"/>
    <w:rsid w:val="00241F0F"/>
    <w:rsid w:val="00244324"/>
    <w:rsid w:val="00244A9B"/>
    <w:rsid w:val="0024687F"/>
    <w:rsid w:val="00251C01"/>
    <w:rsid w:val="0026459A"/>
    <w:rsid w:val="00274584"/>
    <w:rsid w:val="00274F81"/>
    <w:rsid w:val="00276565"/>
    <w:rsid w:val="00281702"/>
    <w:rsid w:val="0028259C"/>
    <w:rsid w:val="00287051"/>
    <w:rsid w:val="0029203D"/>
    <w:rsid w:val="00292AFC"/>
    <w:rsid w:val="002956C5"/>
    <w:rsid w:val="00295C3A"/>
    <w:rsid w:val="002A183B"/>
    <w:rsid w:val="002B1F6F"/>
    <w:rsid w:val="002B48C5"/>
    <w:rsid w:val="002C3979"/>
    <w:rsid w:val="002C7E45"/>
    <w:rsid w:val="002D1B7D"/>
    <w:rsid w:val="002D3BCA"/>
    <w:rsid w:val="002D47C1"/>
    <w:rsid w:val="002D5937"/>
    <w:rsid w:val="002E437E"/>
    <w:rsid w:val="002E498A"/>
    <w:rsid w:val="002E520F"/>
    <w:rsid w:val="002F2384"/>
    <w:rsid w:val="002F459B"/>
    <w:rsid w:val="002F62F3"/>
    <w:rsid w:val="002F7C55"/>
    <w:rsid w:val="00300D05"/>
    <w:rsid w:val="003018A9"/>
    <w:rsid w:val="00304A3F"/>
    <w:rsid w:val="003051CE"/>
    <w:rsid w:val="00305F10"/>
    <w:rsid w:val="0030606C"/>
    <w:rsid w:val="003102C3"/>
    <w:rsid w:val="003108AD"/>
    <w:rsid w:val="003153C6"/>
    <w:rsid w:val="00315B3A"/>
    <w:rsid w:val="003236C4"/>
    <w:rsid w:val="003275E5"/>
    <w:rsid w:val="003357EF"/>
    <w:rsid w:val="00342098"/>
    <w:rsid w:val="00342B57"/>
    <w:rsid w:val="00345E4B"/>
    <w:rsid w:val="003460FD"/>
    <w:rsid w:val="00346C0C"/>
    <w:rsid w:val="003625D1"/>
    <w:rsid w:val="00363D8C"/>
    <w:rsid w:val="00366BFB"/>
    <w:rsid w:val="00370F44"/>
    <w:rsid w:val="00373D9E"/>
    <w:rsid w:val="00374D29"/>
    <w:rsid w:val="00383D1A"/>
    <w:rsid w:val="00386654"/>
    <w:rsid w:val="00390826"/>
    <w:rsid w:val="003910F8"/>
    <w:rsid w:val="00392B99"/>
    <w:rsid w:val="003955AA"/>
    <w:rsid w:val="003A287D"/>
    <w:rsid w:val="003A5576"/>
    <w:rsid w:val="003A590A"/>
    <w:rsid w:val="003B1B86"/>
    <w:rsid w:val="003B476D"/>
    <w:rsid w:val="003B4FE2"/>
    <w:rsid w:val="003B61BD"/>
    <w:rsid w:val="003C55DC"/>
    <w:rsid w:val="003D2B54"/>
    <w:rsid w:val="003D3143"/>
    <w:rsid w:val="003D70E8"/>
    <w:rsid w:val="003E06BD"/>
    <w:rsid w:val="003E37E6"/>
    <w:rsid w:val="003E481D"/>
    <w:rsid w:val="003E5C66"/>
    <w:rsid w:val="003E792F"/>
    <w:rsid w:val="003E7F8E"/>
    <w:rsid w:val="00402A47"/>
    <w:rsid w:val="00407A04"/>
    <w:rsid w:val="00407ACA"/>
    <w:rsid w:val="00410BCD"/>
    <w:rsid w:val="00413D90"/>
    <w:rsid w:val="00421A47"/>
    <w:rsid w:val="00423402"/>
    <w:rsid w:val="00424856"/>
    <w:rsid w:val="00425AA7"/>
    <w:rsid w:val="004271C1"/>
    <w:rsid w:val="004337B4"/>
    <w:rsid w:val="00440BC3"/>
    <w:rsid w:val="0044374E"/>
    <w:rsid w:val="00446F70"/>
    <w:rsid w:val="00451D40"/>
    <w:rsid w:val="00460810"/>
    <w:rsid w:val="00467534"/>
    <w:rsid w:val="004765DF"/>
    <w:rsid w:val="004822CC"/>
    <w:rsid w:val="00487A85"/>
    <w:rsid w:val="004A17E7"/>
    <w:rsid w:val="004B5B90"/>
    <w:rsid w:val="004C18F8"/>
    <w:rsid w:val="004C5EAD"/>
    <w:rsid w:val="004C611A"/>
    <w:rsid w:val="004D4050"/>
    <w:rsid w:val="004D5410"/>
    <w:rsid w:val="004D5AEB"/>
    <w:rsid w:val="004D62E0"/>
    <w:rsid w:val="004D7EBE"/>
    <w:rsid w:val="004E0B3E"/>
    <w:rsid w:val="004E31DF"/>
    <w:rsid w:val="004E7408"/>
    <w:rsid w:val="004F488D"/>
    <w:rsid w:val="004F7162"/>
    <w:rsid w:val="00502DED"/>
    <w:rsid w:val="00503EFD"/>
    <w:rsid w:val="00504F1E"/>
    <w:rsid w:val="00506922"/>
    <w:rsid w:val="005114F0"/>
    <w:rsid w:val="00514005"/>
    <w:rsid w:val="00515D4D"/>
    <w:rsid w:val="00521FA2"/>
    <w:rsid w:val="00527A41"/>
    <w:rsid w:val="005319C5"/>
    <w:rsid w:val="005351DC"/>
    <w:rsid w:val="0053634F"/>
    <w:rsid w:val="005422E4"/>
    <w:rsid w:val="00542B46"/>
    <w:rsid w:val="005432AD"/>
    <w:rsid w:val="00544E53"/>
    <w:rsid w:val="00551FCE"/>
    <w:rsid w:val="00552ABD"/>
    <w:rsid w:val="0055465D"/>
    <w:rsid w:val="00555348"/>
    <w:rsid w:val="0055732E"/>
    <w:rsid w:val="005637B4"/>
    <w:rsid w:val="00586503"/>
    <w:rsid w:val="00592330"/>
    <w:rsid w:val="005A0C07"/>
    <w:rsid w:val="005A10D5"/>
    <w:rsid w:val="005A449E"/>
    <w:rsid w:val="005A5939"/>
    <w:rsid w:val="005A6585"/>
    <w:rsid w:val="005B0487"/>
    <w:rsid w:val="005B59F5"/>
    <w:rsid w:val="005C04FF"/>
    <w:rsid w:val="005C6294"/>
    <w:rsid w:val="005D165C"/>
    <w:rsid w:val="005D6041"/>
    <w:rsid w:val="005F15A5"/>
    <w:rsid w:val="005F573C"/>
    <w:rsid w:val="005F5F18"/>
    <w:rsid w:val="0060296D"/>
    <w:rsid w:val="00603823"/>
    <w:rsid w:val="0061254D"/>
    <w:rsid w:val="0061371A"/>
    <w:rsid w:val="00614F62"/>
    <w:rsid w:val="00615413"/>
    <w:rsid w:val="006172B6"/>
    <w:rsid w:val="00617799"/>
    <w:rsid w:val="0062030E"/>
    <w:rsid w:val="00621F20"/>
    <w:rsid w:val="0063264C"/>
    <w:rsid w:val="006355FC"/>
    <w:rsid w:val="00635F3D"/>
    <w:rsid w:val="006403B1"/>
    <w:rsid w:val="00641CA5"/>
    <w:rsid w:val="0064567D"/>
    <w:rsid w:val="00646D9B"/>
    <w:rsid w:val="006558EA"/>
    <w:rsid w:val="00664151"/>
    <w:rsid w:val="00667F0E"/>
    <w:rsid w:val="00672F0E"/>
    <w:rsid w:val="00687F66"/>
    <w:rsid w:val="0069371C"/>
    <w:rsid w:val="006A336A"/>
    <w:rsid w:val="006C4789"/>
    <w:rsid w:val="006C6888"/>
    <w:rsid w:val="006D40D8"/>
    <w:rsid w:val="006D4950"/>
    <w:rsid w:val="006D4D31"/>
    <w:rsid w:val="006D68EF"/>
    <w:rsid w:val="006D6C8E"/>
    <w:rsid w:val="006F0D8D"/>
    <w:rsid w:val="006F1953"/>
    <w:rsid w:val="006F2285"/>
    <w:rsid w:val="006F3D0E"/>
    <w:rsid w:val="00701BC0"/>
    <w:rsid w:val="00703E30"/>
    <w:rsid w:val="007049C4"/>
    <w:rsid w:val="00710FF3"/>
    <w:rsid w:val="00711190"/>
    <w:rsid w:val="00716190"/>
    <w:rsid w:val="00724148"/>
    <w:rsid w:val="00724B70"/>
    <w:rsid w:val="00727933"/>
    <w:rsid w:val="00732881"/>
    <w:rsid w:val="00732EFF"/>
    <w:rsid w:val="007351DA"/>
    <w:rsid w:val="00741F7B"/>
    <w:rsid w:val="007500EB"/>
    <w:rsid w:val="0075056F"/>
    <w:rsid w:val="0075078D"/>
    <w:rsid w:val="00751F2C"/>
    <w:rsid w:val="0075453C"/>
    <w:rsid w:val="00757787"/>
    <w:rsid w:val="00757842"/>
    <w:rsid w:val="00766325"/>
    <w:rsid w:val="00771157"/>
    <w:rsid w:val="00773ADD"/>
    <w:rsid w:val="007749FF"/>
    <w:rsid w:val="00774A8C"/>
    <w:rsid w:val="007752A8"/>
    <w:rsid w:val="00781570"/>
    <w:rsid w:val="0078225F"/>
    <w:rsid w:val="007879E2"/>
    <w:rsid w:val="007915A3"/>
    <w:rsid w:val="00793FEA"/>
    <w:rsid w:val="007956FA"/>
    <w:rsid w:val="00796422"/>
    <w:rsid w:val="007A437B"/>
    <w:rsid w:val="007B16DF"/>
    <w:rsid w:val="007B5E0A"/>
    <w:rsid w:val="007C1EC2"/>
    <w:rsid w:val="007C236F"/>
    <w:rsid w:val="007C465F"/>
    <w:rsid w:val="007C7662"/>
    <w:rsid w:val="007D18B6"/>
    <w:rsid w:val="007D4CE4"/>
    <w:rsid w:val="007D611E"/>
    <w:rsid w:val="007E0BE9"/>
    <w:rsid w:val="007E18B2"/>
    <w:rsid w:val="007E1EED"/>
    <w:rsid w:val="007E5578"/>
    <w:rsid w:val="007E60E8"/>
    <w:rsid w:val="007E7108"/>
    <w:rsid w:val="00800324"/>
    <w:rsid w:val="00801C20"/>
    <w:rsid w:val="008023AC"/>
    <w:rsid w:val="008035AA"/>
    <w:rsid w:val="0080418A"/>
    <w:rsid w:val="00804507"/>
    <w:rsid w:val="0081274B"/>
    <w:rsid w:val="00813228"/>
    <w:rsid w:val="00815A36"/>
    <w:rsid w:val="00817C84"/>
    <w:rsid w:val="0082204A"/>
    <w:rsid w:val="00823BC7"/>
    <w:rsid w:val="008326F6"/>
    <w:rsid w:val="0083547B"/>
    <w:rsid w:val="00837C71"/>
    <w:rsid w:val="00840467"/>
    <w:rsid w:val="008412FF"/>
    <w:rsid w:val="008420B8"/>
    <w:rsid w:val="0084361C"/>
    <w:rsid w:val="00844234"/>
    <w:rsid w:val="00844FE5"/>
    <w:rsid w:val="0085061E"/>
    <w:rsid w:val="00850640"/>
    <w:rsid w:val="008533B7"/>
    <w:rsid w:val="00853DA0"/>
    <w:rsid w:val="008579A1"/>
    <w:rsid w:val="00864355"/>
    <w:rsid w:val="00864F88"/>
    <w:rsid w:val="008651D4"/>
    <w:rsid w:val="008760FF"/>
    <w:rsid w:val="008772D0"/>
    <w:rsid w:val="00887E43"/>
    <w:rsid w:val="00891552"/>
    <w:rsid w:val="00892F80"/>
    <w:rsid w:val="008A08A0"/>
    <w:rsid w:val="008A4C83"/>
    <w:rsid w:val="008A4F40"/>
    <w:rsid w:val="008A583E"/>
    <w:rsid w:val="008A65AD"/>
    <w:rsid w:val="008A6E34"/>
    <w:rsid w:val="008A70B0"/>
    <w:rsid w:val="008A734C"/>
    <w:rsid w:val="008B4B2B"/>
    <w:rsid w:val="008B7591"/>
    <w:rsid w:val="008C0D71"/>
    <w:rsid w:val="008C6A02"/>
    <w:rsid w:val="008C7D23"/>
    <w:rsid w:val="008D06FF"/>
    <w:rsid w:val="008D3986"/>
    <w:rsid w:val="008D39BE"/>
    <w:rsid w:val="008E2F78"/>
    <w:rsid w:val="008E5B9E"/>
    <w:rsid w:val="008F0DA6"/>
    <w:rsid w:val="008F4C36"/>
    <w:rsid w:val="008F662E"/>
    <w:rsid w:val="008F6A13"/>
    <w:rsid w:val="009059FB"/>
    <w:rsid w:val="009110E8"/>
    <w:rsid w:val="009142E3"/>
    <w:rsid w:val="00920889"/>
    <w:rsid w:val="009228EE"/>
    <w:rsid w:val="00923562"/>
    <w:rsid w:val="00923651"/>
    <w:rsid w:val="00926479"/>
    <w:rsid w:val="00926A0C"/>
    <w:rsid w:val="00935B54"/>
    <w:rsid w:val="00936B75"/>
    <w:rsid w:val="00941C01"/>
    <w:rsid w:val="00942485"/>
    <w:rsid w:val="0094311C"/>
    <w:rsid w:val="00944963"/>
    <w:rsid w:val="00946530"/>
    <w:rsid w:val="00954505"/>
    <w:rsid w:val="00957059"/>
    <w:rsid w:val="009570AD"/>
    <w:rsid w:val="00957448"/>
    <w:rsid w:val="009612CB"/>
    <w:rsid w:val="009622F6"/>
    <w:rsid w:val="00965650"/>
    <w:rsid w:val="00966F63"/>
    <w:rsid w:val="0097318C"/>
    <w:rsid w:val="009735FA"/>
    <w:rsid w:val="00980163"/>
    <w:rsid w:val="009919AC"/>
    <w:rsid w:val="009A06E1"/>
    <w:rsid w:val="009A1332"/>
    <w:rsid w:val="009A557C"/>
    <w:rsid w:val="009B06C8"/>
    <w:rsid w:val="009C225D"/>
    <w:rsid w:val="009D688C"/>
    <w:rsid w:val="009D7FC1"/>
    <w:rsid w:val="009E024C"/>
    <w:rsid w:val="00A01B39"/>
    <w:rsid w:val="00A069F4"/>
    <w:rsid w:val="00A1101F"/>
    <w:rsid w:val="00A15245"/>
    <w:rsid w:val="00A20D65"/>
    <w:rsid w:val="00A26F7D"/>
    <w:rsid w:val="00A31ED5"/>
    <w:rsid w:val="00A3786F"/>
    <w:rsid w:val="00A43E39"/>
    <w:rsid w:val="00A53EB8"/>
    <w:rsid w:val="00A5435F"/>
    <w:rsid w:val="00A56A27"/>
    <w:rsid w:val="00A60816"/>
    <w:rsid w:val="00A6173C"/>
    <w:rsid w:val="00A648DB"/>
    <w:rsid w:val="00A66980"/>
    <w:rsid w:val="00A77A84"/>
    <w:rsid w:val="00A86370"/>
    <w:rsid w:val="00A96571"/>
    <w:rsid w:val="00AA1184"/>
    <w:rsid w:val="00AA3E79"/>
    <w:rsid w:val="00AB0518"/>
    <w:rsid w:val="00AC3CC3"/>
    <w:rsid w:val="00AC4FD4"/>
    <w:rsid w:val="00AC57FB"/>
    <w:rsid w:val="00AC66DF"/>
    <w:rsid w:val="00AD2716"/>
    <w:rsid w:val="00AD3EAB"/>
    <w:rsid w:val="00AD7660"/>
    <w:rsid w:val="00AE659F"/>
    <w:rsid w:val="00AF0A7C"/>
    <w:rsid w:val="00AF1EC5"/>
    <w:rsid w:val="00AF51A8"/>
    <w:rsid w:val="00AF68B9"/>
    <w:rsid w:val="00AF79C7"/>
    <w:rsid w:val="00B0460C"/>
    <w:rsid w:val="00B110D5"/>
    <w:rsid w:val="00B14589"/>
    <w:rsid w:val="00B2130E"/>
    <w:rsid w:val="00B23E15"/>
    <w:rsid w:val="00B37EB1"/>
    <w:rsid w:val="00B40722"/>
    <w:rsid w:val="00B411BA"/>
    <w:rsid w:val="00B441C7"/>
    <w:rsid w:val="00B578D7"/>
    <w:rsid w:val="00B63AA7"/>
    <w:rsid w:val="00B664EF"/>
    <w:rsid w:val="00B70491"/>
    <w:rsid w:val="00B7102A"/>
    <w:rsid w:val="00B71A66"/>
    <w:rsid w:val="00B73990"/>
    <w:rsid w:val="00B74ED6"/>
    <w:rsid w:val="00B75115"/>
    <w:rsid w:val="00B80B6F"/>
    <w:rsid w:val="00B85459"/>
    <w:rsid w:val="00B933E5"/>
    <w:rsid w:val="00B93A30"/>
    <w:rsid w:val="00BA0F62"/>
    <w:rsid w:val="00BA567D"/>
    <w:rsid w:val="00BA5820"/>
    <w:rsid w:val="00BB3A14"/>
    <w:rsid w:val="00BC30BB"/>
    <w:rsid w:val="00BC48B3"/>
    <w:rsid w:val="00BC6044"/>
    <w:rsid w:val="00BD1ED3"/>
    <w:rsid w:val="00BE02E6"/>
    <w:rsid w:val="00BE2A12"/>
    <w:rsid w:val="00BE393C"/>
    <w:rsid w:val="00BE3D62"/>
    <w:rsid w:val="00BE5644"/>
    <w:rsid w:val="00BF22AC"/>
    <w:rsid w:val="00C013AE"/>
    <w:rsid w:val="00C0332E"/>
    <w:rsid w:val="00C04E4B"/>
    <w:rsid w:val="00C0725F"/>
    <w:rsid w:val="00C07FD9"/>
    <w:rsid w:val="00C110F5"/>
    <w:rsid w:val="00C16225"/>
    <w:rsid w:val="00C229C2"/>
    <w:rsid w:val="00C355C3"/>
    <w:rsid w:val="00C45D19"/>
    <w:rsid w:val="00C45D55"/>
    <w:rsid w:val="00C518A3"/>
    <w:rsid w:val="00C55847"/>
    <w:rsid w:val="00C56E81"/>
    <w:rsid w:val="00C57808"/>
    <w:rsid w:val="00C60A8B"/>
    <w:rsid w:val="00C6268B"/>
    <w:rsid w:val="00C65969"/>
    <w:rsid w:val="00C703E7"/>
    <w:rsid w:val="00C764A3"/>
    <w:rsid w:val="00C80CA1"/>
    <w:rsid w:val="00C83BE8"/>
    <w:rsid w:val="00C84B96"/>
    <w:rsid w:val="00C906C1"/>
    <w:rsid w:val="00C91168"/>
    <w:rsid w:val="00C94F2B"/>
    <w:rsid w:val="00CA107C"/>
    <w:rsid w:val="00CA17F0"/>
    <w:rsid w:val="00CA4ED9"/>
    <w:rsid w:val="00CA5772"/>
    <w:rsid w:val="00CA5AC6"/>
    <w:rsid w:val="00CB07A7"/>
    <w:rsid w:val="00CB2286"/>
    <w:rsid w:val="00CC27B4"/>
    <w:rsid w:val="00CC3D5A"/>
    <w:rsid w:val="00CC5103"/>
    <w:rsid w:val="00CC68D6"/>
    <w:rsid w:val="00CC784D"/>
    <w:rsid w:val="00CD4788"/>
    <w:rsid w:val="00CD4969"/>
    <w:rsid w:val="00CD5440"/>
    <w:rsid w:val="00CF4EB6"/>
    <w:rsid w:val="00CF52F8"/>
    <w:rsid w:val="00CF6242"/>
    <w:rsid w:val="00D02959"/>
    <w:rsid w:val="00D02C1F"/>
    <w:rsid w:val="00D0518F"/>
    <w:rsid w:val="00D11045"/>
    <w:rsid w:val="00D12983"/>
    <w:rsid w:val="00D15839"/>
    <w:rsid w:val="00D16B69"/>
    <w:rsid w:val="00D16C98"/>
    <w:rsid w:val="00D17EB5"/>
    <w:rsid w:val="00D25884"/>
    <w:rsid w:val="00D25C3E"/>
    <w:rsid w:val="00D30D85"/>
    <w:rsid w:val="00D3520E"/>
    <w:rsid w:val="00D36D04"/>
    <w:rsid w:val="00D3718E"/>
    <w:rsid w:val="00D50172"/>
    <w:rsid w:val="00D5519A"/>
    <w:rsid w:val="00D62D5A"/>
    <w:rsid w:val="00D6675E"/>
    <w:rsid w:val="00D67D72"/>
    <w:rsid w:val="00D710A2"/>
    <w:rsid w:val="00D74828"/>
    <w:rsid w:val="00D80130"/>
    <w:rsid w:val="00D80578"/>
    <w:rsid w:val="00D81AC1"/>
    <w:rsid w:val="00D83C72"/>
    <w:rsid w:val="00D86A96"/>
    <w:rsid w:val="00D86D17"/>
    <w:rsid w:val="00D87E98"/>
    <w:rsid w:val="00D951FC"/>
    <w:rsid w:val="00DA414F"/>
    <w:rsid w:val="00DA5BDA"/>
    <w:rsid w:val="00DA75F3"/>
    <w:rsid w:val="00DB2BBD"/>
    <w:rsid w:val="00DB5FFA"/>
    <w:rsid w:val="00DC3574"/>
    <w:rsid w:val="00DC6D90"/>
    <w:rsid w:val="00DD754B"/>
    <w:rsid w:val="00DE30B0"/>
    <w:rsid w:val="00DE5FB3"/>
    <w:rsid w:val="00DF1F80"/>
    <w:rsid w:val="00DF2209"/>
    <w:rsid w:val="00DF237F"/>
    <w:rsid w:val="00DF4D21"/>
    <w:rsid w:val="00E00032"/>
    <w:rsid w:val="00E029A0"/>
    <w:rsid w:val="00E05CC3"/>
    <w:rsid w:val="00E11DD7"/>
    <w:rsid w:val="00E21437"/>
    <w:rsid w:val="00E333F6"/>
    <w:rsid w:val="00E34B4C"/>
    <w:rsid w:val="00E409D8"/>
    <w:rsid w:val="00E450A6"/>
    <w:rsid w:val="00E46453"/>
    <w:rsid w:val="00E543D3"/>
    <w:rsid w:val="00E604CE"/>
    <w:rsid w:val="00E65059"/>
    <w:rsid w:val="00E660E3"/>
    <w:rsid w:val="00E66A17"/>
    <w:rsid w:val="00E6718F"/>
    <w:rsid w:val="00E700ED"/>
    <w:rsid w:val="00E73B3A"/>
    <w:rsid w:val="00E73EB8"/>
    <w:rsid w:val="00E75F30"/>
    <w:rsid w:val="00E760D1"/>
    <w:rsid w:val="00E76388"/>
    <w:rsid w:val="00E77AC1"/>
    <w:rsid w:val="00E77D05"/>
    <w:rsid w:val="00E82811"/>
    <w:rsid w:val="00E8289F"/>
    <w:rsid w:val="00E831FB"/>
    <w:rsid w:val="00E8387E"/>
    <w:rsid w:val="00E95631"/>
    <w:rsid w:val="00EA4592"/>
    <w:rsid w:val="00EA5E68"/>
    <w:rsid w:val="00EA7A55"/>
    <w:rsid w:val="00EB002E"/>
    <w:rsid w:val="00EB04C3"/>
    <w:rsid w:val="00EB10D3"/>
    <w:rsid w:val="00EB65ED"/>
    <w:rsid w:val="00EB7BA7"/>
    <w:rsid w:val="00ED3660"/>
    <w:rsid w:val="00ED3D9E"/>
    <w:rsid w:val="00ED5015"/>
    <w:rsid w:val="00ED5CBE"/>
    <w:rsid w:val="00ED5E7E"/>
    <w:rsid w:val="00ED65F9"/>
    <w:rsid w:val="00EE1C53"/>
    <w:rsid w:val="00EE3161"/>
    <w:rsid w:val="00EE5160"/>
    <w:rsid w:val="00EF060B"/>
    <w:rsid w:val="00EF0854"/>
    <w:rsid w:val="00EF1E66"/>
    <w:rsid w:val="00EF368F"/>
    <w:rsid w:val="00EF694E"/>
    <w:rsid w:val="00EF73CE"/>
    <w:rsid w:val="00F043F3"/>
    <w:rsid w:val="00F057BD"/>
    <w:rsid w:val="00F067E0"/>
    <w:rsid w:val="00F06F15"/>
    <w:rsid w:val="00F11289"/>
    <w:rsid w:val="00F13B0B"/>
    <w:rsid w:val="00F1642E"/>
    <w:rsid w:val="00F20727"/>
    <w:rsid w:val="00F36F0F"/>
    <w:rsid w:val="00F4038E"/>
    <w:rsid w:val="00F42733"/>
    <w:rsid w:val="00F42863"/>
    <w:rsid w:val="00F444FC"/>
    <w:rsid w:val="00F554BA"/>
    <w:rsid w:val="00F57D63"/>
    <w:rsid w:val="00F60187"/>
    <w:rsid w:val="00F61AFD"/>
    <w:rsid w:val="00F623A4"/>
    <w:rsid w:val="00F64914"/>
    <w:rsid w:val="00F66186"/>
    <w:rsid w:val="00F70572"/>
    <w:rsid w:val="00F752DD"/>
    <w:rsid w:val="00F8013C"/>
    <w:rsid w:val="00F848A2"/>
    <w:rsid w:val="00F862FE"/>
    <w:rsid w:val="00FA0610"/>
    <w:rsid w:val="00FA0DED"/>
    <w:rsid w:val="00FA3456"/>
    <w:rsid w:val="00FA4446"/>
    <w:rsid w:val="00FA5868"/>
    <w:rsid w:val="00FA712C"/>
    <w:rsid w:val="00FB0931"/>
    <w:rsid w:val="00FB1264"/>
    <w:rsid w:val="00FB3355"/>
    <w:rsid w:val="00FB3F82"/>
    <w:rsid w:val="00FB5C3F"/>
    <w:rsid w:val="00FC0BDB"/>
    <w:rsid w:val="00FC2BDC"/>
    <w:rsid w:val="00FC4D2E"/>
    <w:rsid w:val="00FC7596"/>
    <w:rsid w:val="00FD4748"/>
    <w:rsid w:val="00FD4B26"/>
    <w:rsid w:val="00FD7E89"/>
    <w:rsid w:val="00FF0C6D"/>
    <w:rsid w:val="00FF3048"/>
    <w:rsid w:val="00FF3194"/>
    <w:rsid w:val="050414F1"/>
    <w:rsid w:val="060E536D"/>
    <w:rsid w:val="072B3BD8"/>
    <w:rsid w:val="1B5D4C6F"/>
    <w:rsid w:val="1B7B0307"/>
    <w:rsid w:val="1E8F1B85"/>
    <w:rsid w:val="269528E7"/>
    <w:rsid w:val="45EE4809"/>
    <w:rsid w:val="46984EC4"/>
    <w:rsid w:val="4C343123"/>
    <w:rsid w:val="56ED3178"/>
    <w:rsid w:val="58D06A3E"/>
    <w:rsid w:val="5B452A8A"/>
    <w:rsid w:val="5C031B76"/>
    <w:rsid w:val="5D7F623B"/>
    <w:rsid w:val="60401DB2"/>
    <w:rsid w:val="61187474"/>
    <w:rsid w:val="62DE6052"/>
    <w:rsid w:val="63915304"/>
    <w:rsid w:val="715E167E"/>
    <w:rsid w:val="744030F2"/>
    <w:rsid w:val="769504C8"/>
    <w:rsid w:val="7732180A"/>
    <w:rsid w:val="79D47355"/>
    <w:rsid w:val="7BFC3723"/>
    <w:rsid w:val="7D483B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uiPriority="99" w:name="page number"/>
    <w:lsdException w:qFormat="1" w:uiPriority="99" w:semiHidden="0" w:name="endnote reference"/>
    <w:lsdException w:qFormat="1" w:uiPriority="99" w:semiHidden="0" w:name="endnote text"/>
    <w:lsdException w:uiPriority="99" w:name="table of authorities"/>
    <w:lsdException w:uiPriority="99" w:name="macro"/>
    <w:lsdException w:qFormat="1"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200" w:firstLineChars="200"/>
    </w:pPr>
    <w:rPr>
      <w:rFonts w:ascii="Times New Roman" w:hAnsi="Times New Roman" w:eastAsia="宋体" w:cstheme="minorBidi"/>
      <w:sz w:val="24"/>
      <w:szCs w:val="22"/>
      <w:lang w:val="en-US" w:eastAsia="zh-CN" w:bidi="ar-SA"/>
    </w:rPr>
  </w:style>
  <w:style w:type="paragraph" w:styleId="2">
    <w:name w:val="heading 1"/>
    <w:basedOn w:val="1"/>
    <w:next w:val="1"/>
    <w:link w:val="29"/>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0"/>
    <w:unhideWhenUsed/>
    <w:qFormat/>
    <w:uiPriority w:val="9"/>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1"/>
    <w:unhideWhenUsed/>
    <w:qFormat/>
    <w:uiPriority w:val="9"/>
    <w:pPr>
      <w:keepNext/>
      <w:keepLines/>
      <w:spacing w:before="20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link w:val="32"/>
    <w:unhideWhenUsed/>
    <w:qFormat/>
    <w:uiPriority w:val="9"/>
    <w:pPr>
      <w:keepNext/>
      <w:keepLines/>
      <w:spacing w:before="20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6">
    <w:name w:val="heading 5"/>
    <w:basedOn w:val="1"/>
    <w:next w:val="1"/>
    <w:link w:val="33"/>
    <w:unhideWhenUsed/>
    <w:qFormat/>
    <w:uiPriority w:val="9"/>
    <w:pPr>
      <w:keepNext/>
      <w:keepLines/>
      <w:spacing w:before="20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34"/>
    <w:unhideWhenUsed/>
    <w:qFormat/>
    <w:uiPriority w:val="9"/>
    <w:pPr>
      <w:keepNext/>
      <w:keepLines/>
      <w:spacing w:before="200"/>
      <w:outlineLvl w:val="5"/>
    </w:pPr>
    <w:rPr>
      <w:rFonts w:asciiTheme="majorHAnsi" w:hAnsiTheme="majorHAnsi" w:eastAsiaTheme="majorEastAsia" w:cstheme="majorBidi"/>
      <w:i/>
      <w:iCs/>
      <w:color w:val="254061" w:themeColor="accent1" w:themeShade="80"/>
    </w:rPr>
  </w:style>
  <w:style w:type="paragraph" w:styleId="8">
    <w:name w:val="heading 7"/>
    <w:basedOn w:val="1"/>
    <w:next w:val="1"/>
    <w:link w:val="35"/>
    <w:unhideWhenUsed/>
    <w:qFormat/>
    <w:uiPriority w:val="9"/>
    <w:pPr>
      <w:keepNext/>
      <w:keepLines/>
      <w:spacing w:before="20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9">
    <w:name w:val="heading 8"/>
    <w:basedOn w:val="1"/>
    <w:next w:val="1"/>
    <w:link w:val="36"/>
    <w:unhideWhenUsed/>
    <w:qFormat/>
    <w:uiPriority w:val="9"/>
    <w:pPr>
      <w:keepNext/>
      <w:keepLines/>
      <w:spacing w:before="20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0">
    <w:name w:val="heading 9"/>
    <w:basedOn w:val="1"/>
    <w:next w:val="1"/>
    <w:link w:val="37"/>
    <w:unhideWhenUsed/>
    <w:qFormat/>
    <w:uiPriority w:val="9"/>
    <w:pPr>
      <w:keepNext/>
      <w:keepLines/>
      <w:spacing w:before="20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23">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2">
    <w:name w:val="toa heading"/>
    <w:basedOn w:val="1"/>
    <w:next w:val="1"/>
    <w:unhideWhenUsed/>
    <w:qFormat/>
    <w:uiPriority w:val="99"/>
    <w:pPr>
      <w:spacing w:before="120" w:after="100" w:afterAutospacing="1"/>
    </w:pPr>
    <w:rPr>
      <w:rFonts w:ascii="Arial" w:hAnsi="Arial" w:cs="Arial"/>
      <w:szCs w:val="24"/>
      <w:lang w:bidi="gu-IN"/>
    </w:rPr>
  </w:style>
  <w:style w:type="paragraph" w:styleId="13">
    <w:name w:val="annotation text"/>
    <w:basedOn w:val="1"/>
    <w:link w:val="61"/>
    <w:unhideWhenUsed/>
    <w:qFormat/>
    <w:uiPriority w:val="99"/>
  </w:style>
  <w:style w:type="paragraph" w:styleId="14">
    <w:name w:val="endnote text"/>
    <w:basedOn w:val="1"/>
    <w:link w:val="53"/>
    <w:unhideWhenUsed/>
    <w:qFormat/>
    <w:uiPriority w:val="99"/>
    <w:pPr>
      <w:snapToGrid w:val="0"/>
    </w:pPr>
  </w:style>
  <w:style w:type="paragraph" w:styleId="15">
    <w:name w:val="Balloon Text"/>
    <w:basedOn w:val="1"/>
    <w:link w:val="56"/>
    <w:unhideWhenUsed/>
    <w:qFormat/>
    <w:uiPriority w:val="99"/>
    <w:pPr>
      <w:spacing w:line="240" w:lineRule="auto"/>
    </w:pPr>
    <w:rPr>
      <w:sz w:val="18"/>
      <w:szCs w:val="18"/>
    </w:rPr>
  </w:style>
  <w:style w:type="paragraph" w:styleId="16">
    <w:name w:val="footer"/>
    <w:basedOn w:val="1"/>
    <w:link w:val="55"/>
    <w:unhideWhenUsed/>
    <w:qFormat/>
    <w:uiPriority w:val="99"/>
    <w:pPr>
      <w:tabs>
        <w:tab w:val="center" w:pos="4153"/>
        <w:tab w:val="right" w:pos="8306"/>
      </w:tabs>
      <w:snapToGrid w:val="0"/>
      <w:spacing w:line="240" w:lineRule="auto"/>
    </w:pPr>
    <w:rPr>
      <w:sz w:val="18"/>
      <w:szCs w:val="18"/>
    </w:rPr>
  </w:style>
  <w:style w:type="paragraph" w:styleId="17">
    <w:name w:val="header"/>
    <w:basedOn w:val="1"/>
    <w:link w:val="54"/>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8">
    <w:name w:val="Subtitle"/>
    <w:basedOn w:val="1"/>
    <w:next w:val="1"/>
    <w:link w:val="39"/>
    <w:qFormat/>
    <w:uiPriority w:val="11"/>
    <w:rPr>
      <w:rFonts w:asciiTheme="majorHAnsi" w:hAnsiTheme="majorHAnsi" w:eastAsiaTheme="majorEastAsia" w:cstheme="majorBidi"/>
      <w:i/>
      <w:iCs/>
      <w:color w:val="4F81BD" w:themeColor="accent1"/>
      <w:spacing w:val="15"/>
      <w:szCs w:val="24"/>
      <w14:textFill>
        <w14:solidFill>
          <w14:schemeClr w14:val="accent1"/>
        </w14:solidFill>
      </w14:textFill>
    </w:rPr>
  </w:style>
  <w:style w:type="paragraph" w:styleId="19">
    <w:name w:val="footnote text"/>
    <w:basedOn w:val="1"/>
    <w:link w:val="60"/>
    <w:unhideWhenUsed/>
    <w:qFormat/>
    <w:uiPriority w:val="99"/>
    <w:pPr>
      <w:snapToGrid w:val="0"/>
    </w:pPr>
    <w:rPr>
      <w:sz w:val="18"/>
      <w:szCs w:val="18"/>
    </w:rPr>
  </w:style>
  <w:style w:type="paragraph" w:styleId="20">
    <w:name w:val="Title"/>
    <w:basedOn w:val="1"/>
    <w:next w:val="1"/>
    <w:link w:val="38"/>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paragraph" w:styleId="21">
    <w:name w:val="annotation subject"/>
    <w:basedOn w:val="13"/>
    <w:next w:val="13"/>
    <w:link w:val="62"/>
    <w:unhideWhenUsed/>
    <w:qFormat/>
    <w:uiPriority w:val="99"/>
    <w:rPr>
      <w:b/>
      <w:bCs/>
    </w:rPr>
  </w:style>
  <w:style w:type="character" w:styleId="24">
    <w:name w:val="Strong"/>
    <w:basedOn w:val="23"/>
    <w:qFormat/>
    <w:uiPriority w:val="22"/>
    <w:rPr>
      <w:b/>
      <w:bCs/>
    </w:rPr>
  </w:style>
  <w:style w:type="character" w:styleId="25">
    <w:name w:val="endnote reference"/>
    <w:basedOn w:val="23"/>
    <w:unhideWhenUsed/>
    <w:qFormat/>
    <w:uiPriority w:val="99"/>
    <w:rPr>
      <w:vertAlign w:val="superscript"/>
    </w:rPr>
  </w:style>
  <w:style w:type="character" w:styleId="26">
    <w:name w:val="Emphasis"/>
    <w:basedOn w:val="23"/>
    <w:qFormat/>
    <w:uiPriority w:val="20"/>
    <w:rPr>
      <w:i/>
      <w:iCs/>
    </w:rPr>
  </w:style>
  <w:style w:type="character" w:styleId="27">
    <w:name w:val="annotation reference"/>
    <w:basedOn w:val="23"/>
    <w:unhideWhenUsed/>
    <w:qFormat/>
    <w:uiPriority w:val="99"/>
    <w:rPr>
      <w:sz w:val="21"/>
      <w:szCs w:val="21"/>
    </w:rPr>
  </w:style>
  <w:style w:type="character" w:styleId="28">
    <w:name w:val="footnote reference"/>
    <w:basedOn w:val="23"/>
    <w:unhideWhenUsed/>
    <w:qFormat/>
    <w:uiPriority w:val="99"/>
    <w:rPr>
      <w:vertAlign w:val="superscript"/>
    </w:rPr>
  </w:style>
  <w:style w:type="character" w:customStyle="1" w:styleId="29">
    <w:name w:val="标题 1 字符"/>
    <w:basedOn w:val="23"/>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30">
    <w:name w:val="标题 2 字符"/>
    <w:basedOn w:val="23"/>
    <w:link w:val="3"/>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31">
    <w:name w:val="标题 3 字符"/>
    <w:basedOn w:val="23"/>
    <w:link w:val="4"/>
    <w:semiHidden/>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32">
    <w:name w:val="标题 4 字符"/>
    <w:basedOn w:val="23"/>
    <w:link w:val="5"/>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33">
    <w:name w:val="标题 5 字符"/>
    <w:basedOn w:val="23"/>
    <w:link w:val="6"/>
    <w:semiHidden/>
    <w:qFormat/>
    <w:uiPriority w:val="9"/>
    <w:rPr>
      <w:rFonts w:asciiTheme="majorHAnsi" w:hAnsiTheme="majorHAnsi" w:eastAsiaTheme="majorEastAsia" w:cstheme="majorBidi"/>
      <w:color w:val="254061" w:themeColor="accent1" w:themeShade="80"/>
    </w:rPr>
  </w:style>
  <w:style w:type="character" w:customStyle="1" w:styleId="34">
    <w:name w:val="标题 6 字符"/>
    <w:basedOn w:val="23"/>
    <w:link w:val="7"/>
    <w:semiHidden/>
    <w:qFormat/>
    <w:uiPriority w:val="9"/>
    <w:rPr>
      <w:rFonts w:asciiTheme="majorHAnsi" w:hAnsiTheme="majorHAnsi" w:eastAsiaTheme="majorEastAsia" w:cstheme="majorBidi"/>
      <w:i/>
      <w:iCs/>
      <w:color w:val="254061" w:themeColor="accent1" w:themeShade="80"/>
    </w:rPr>
  </w:style>
  <w:style w:type="character" w:customStyle="1" w:styleId="35">
    <w:name w:val="标题 7 字符"/>
    <w:basedOn w:val="23"/>
    <w:link w:val="8"/>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36">
    <w:name w:val="标题 8 字符"/>
    <w:basedOn w:val="23"/>
    <w:link w:val="9"/>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37">
    <w:name w:val="标题 9 字符"/>
    <w:basedOn w:val="23"/>
    <w:link w:val="10"/>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customStyle="1" w:styleId="38">
    <w:name w:val="标题 字符"/>
    <w:basedOn w:val="23"/>
    <w:link w:val="20"/>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39">
    <w:name w:val="副标题 字符"/>
    <w:basedOn w:val="23"/>
    <w:link w:val="18"/>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customStyle="1" w:styleId="40">
    <w:name w:val="无间隔1"/>
    <w:link w:val="52"/>
    <w:qFormat/>
    <w:uiPriority w:val="1"/>
    <w:rPr>
      <w:rFonts w:asciiTheme="minorHAnsi" w:hAnsiTheme="minorHAnsi" w:eastAsiaTheme="minorEastAsia" w:cstheme="minorBidi"/>
      <w:sz w:val="22"/>
      <w:szCs w:val="22"/>
      <w:lang w:val="en-US" w:eastAsia="zh-CN" w:bidi="ar-SA"/>
    </w:rPr>
  </w:style>
  <w:style w:type="paragraph" w:customStyle="1" w:styleId="41">
    <w:name w:val="列出段落1"/>
    <w:basedOn w:val="1"/>
    <w:qFormat/>
    <w:uiPriority w:val="34"/>
    <w:pPr>
      <w:ind w:firstLine="0" w:firstLineChars="0"/>
      <w:contextualSpacing/>
    </w:pPr>
  </w:style>
  <w:style w:type="paragraph" w:customStyle="1" w:styleId="42">
    <w:name w:val="引用1"/>
    <w:basedOn w:val="1"/>
    <w:next w:val="1"/>
    <w:link w:val="43"/>
    <w:qFormat/>
    <w:uiPriority w:val="29"/>
    <w:rPr>
      <w:i/>
      <w:iCs/>
      <w:color w:val="000000" w:themeColor="text1"/>
      <w14:textFill>
        <w14:solidFill>
          <w14:schemeClr w14:val="tx1"/>
        </w14:solidFill>
      </w14:textFill>
    </w:rPr>
  </w:style>
  <w:style w:type="character" w:customStyle="1" w:styleId="43">
    <w:name w:val="引用 Char"/>
    <w:basedOn w:val="23"/>
    <w:link w:val="42"/>
    <w:qFormat/>
    <w:uiPriority w:val="29"/>
    <w:rPr>
      <w:i/>
      <w:iCs/>
      <w:color w:val="000000" w:themeColor="text1"/>
      <w14:textFill>
        <w14:solidFill>
          <w14:schemeClr w14:val="tx1"/>
        </w14:solidFill>
      </w14:textFill>
    </w:rPr>
  </w:style>
  <w:style w:type="paragraph" w:customStyle="1" w:styleId="44">
    <w:name w:val="明显引用1"/>
    <w:basedOn w:val="1"/>
    <w:next w:val="1"/>
    <w:link w:val="45"/>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45">
    <w:name w:val="明显引用 Char"/>
    <w:basedOn w:val="23"/>
    <w:link w:val="44"/>
    <w:qFormat/>
    <w:uiPriority w:val="30"/>
    <w:rPr>
      <w:b/>
      <w:bCs/>
      <w:i/>
      <w:iCs/>
      <w:color w:val="4F81BD" w:themeColor="accent1"/>
      <w14:textFill>
        <w14:solidFill>
          <w14:schemeClr w14:val="accent1"/>
        </w14:solidFill>
      </w14:textFill>
    </w:rPr>
  </w:style>
  <w:style w:type="character" w:customStyle="1" w:styleId="46">
    <w:name w:val="不明显强调1"/>
    <w:basedOn w:val="23"/>
    <w:qFormat/>
    <w:uiPriority w:val="19"/>
    <w:rPr>
      <w:i/>
      <w:iCs/>
      <w:color w:val="808080" w:themeColor="text1" w:themeTint="80"/>
      <w14:textFill>
        <w14:solidFill>
          <w14:schemeClr w14:val="tx1">
            <w14:lumMod w14:val="50000"/>
            <w14:lumOff w14:val="50000"/>
          </w14:schemeClr>
        </w14:solidFill>
      </w14:textFill>
    </w:rPr>
  </w:style>
  <w:style w:type="character" w:customStyle="1" w:styleId="47">
    <w:name w:val="明显强调1"/>
    <w:basedOn w:val="23"/>
    <w:qFormat/>
    <w:uiPriority w:val="21"/>
    <w:rPr>
      <w:b/>
      <w:bCs/>
      <w:i/>
      <w:iCs/>
      <w:color w:val="4F81BD" w:themeColor="accent1"/>
      <w14:textFill>
        <w14:solidFill>
          <w14:schemeClr w14:val="accent1"/>
        </w14:solidFill>
      </w14:textFill>
    </w:rPr>
  </w:style>
  <w:style w:type="character" w:customStyle="1" w:styleId="48">
    <w:name w:val="不明显参考1"/>
    <w:basedOn w:val="23"/>
    <w:qFormat/>
    <w:uiPriority w:val="31"/>
    <w:rPr>
      <w:smallCaps/>
      <w:color w:val="C0504D" w:themeColor="accent2"/>
      <w:u w:val="single"/>
      <w14:textFill>
        <w14:solidFill>
          <w14:schemeClr w14:val="accent2"/>
        </w14:solidFill>
      </w14:textFill>
    </w:rPr>
  </w:style>
  <w:style w:type="character" w:customStyle="1" w:styleId="49">
    <w:name w:val="明显参考1"/>
    <w:basedOn w:val="23"/>
    <w:qFormat/>
    <w:uiPriority w:val="32"/>
    <w:rPr>
      <w:b/>
      <w:bCs/>
      <w:smallCaps/>
      <w:color w:val="C0504D" w:themeColor="accent2"/>
      <w:spacing w:val="5"/>
      <w:u w:val="single"/>
      <w14:textFill>
        <w14:solidFill>
          <w14:schemeClr w14:val="accent2"/>
        </w14:solidFill>
      </w14:textFill>
    </w:rPr>
  </w:style>
  <w:style w:type="character" w:customStyle="1" w:styleId="50">
    <w:name w:val="书籍标题1"/>
    <w:basedOn w:val="23"/>
    <w:qFormat/>
    <w:uiPriority w:val="33"/>
    <w:rPr>
      <w:b/>
      <w:bCs/>
      <w:smallCaps/>
      <w:spacing w:val="5"/>
    </w:rPr>
  </w:style>
  <w:style w:type="paragraph" w:customStyle="1" w:styleId="51">
    <w:name w:val="TOC 标题1"/>
    <w:basedOn w:val="2"/>
    <w:next w:val="1"/>
    <w:unhideWhenUsed/>
    <w:qFormat/>
    <w:uiPriority w:val="39"/>
    <w:pPr>
      <w:outlineLvl w:val="9"/>
    </w:pPr>
  </w:style>
  <w:style w:type="character" w:customStyle="1" w:styleId="52">
    <w:name w:val="无间隔 Char"/>
    <w:basedOn w:val="23"/>
    <w:link w:val="40"/>
    <w:qFormat/>
    <w:uiPriority w:val="1"/>
  </w:style>
  <w:style w:type="character" w:customStyle="1" w:styleId="53">
    <w:name w:val="尾注文本 字符"/>
    <w:basedOn w:val="23"/>
    <w:link w:val="14"/>
    <w:semiHidden/>
    <w:qFormat/>
    <w:uiPriority w:val="99"/>
  </w:style>
  <w:style w:type="character" w:customStyle="1" w:styleId="54">
    <w:name w:val="页眉 字符"/>
    <w:basedOn w:val="23"/>
    <w:link w:val="17"/>
    <w:qFormat/>
    <w:uiPriority w:val="99"/>
    <w:rPr>
      <w:sz w:val="18"/>
      <w:szCs w:val="18"/>
    </w:rPr>
  </w:style>
  <w:style w:type="character" w:customStyle="1" w:styleId="55">
    <w:name w:val="页脚 字符"/>
    <w:basedOn w:val="23"/>
    <w:link w:val="16"/>
    <w:qFormat/>
    <w:uiPriority w:val="99"/>
    <w:rPr>
      <w:sz w:val="18"/>
      <w:szCs w:val="18"/>
    </w:rPr>
  </w:style>
  <w:style w:type="character" w:customStyle="1" w:styleId="56">
    <w:name w:val="批注框文本 字符"/>
    <w:basedOn w:val="23"/>
    <w:link w:val="15"/>
    <w:semiHidden/>
    <w:qFormat/>
    <w:uiPriority w:val="99"/>
    <w:rPr>
      <w:rFonts w:ascii="Times New Roman" w:hAnsi="Times New Roman" w:eastAsia="宋体"/>
      <w:sz w:val="18"/>
      <w:szCs w:val="18"/>
    </w:rPr>
  </w:style>
  <w:style w:type="paragraph" w:customStyle="1" w:styleId="57">
    <w:name w:val="修订1"/>
    <w:hidden/>
    <w:semiHidden/>
    <w:qFormat/>
    <w:uiPriority w:val="99"/>
    <w:rPr>
      <w:rFonts w:ascii="Times New Roman" w:hAnsi="Times New Roman" w:eastAsia="宋体" w:cstheme="minorBidi"/>
      <w:sz w:val="24"/>
      <w:szCs w:val="22"/>
      <w:lang w:val="en-US" w:eastAsia="zh-CN" w:bidi="ar-SA"/>
    </w:rPr>
  </w:style>
  <w:style w:type="paragraph" w:customStyle="1" w:styleId="58">
    <w:name w:val="修订2"/>
    <w:hidden/>
    <w:unhideWhenUsed/>
    <w:qFormat/>
    <w:uiPriority w:val="99"/>
    <w:rPr>
      <w:rFonts w:ascii="Times New Roman" w:hAnsi="Times New Roman" w:eastAsia="宋体" w:cstheme="minorBidi"/>
      <w:sz w:val="24"/>
      <w:szCs w:val="22"/>
      <w:lang w:val="en-US" w:eastAsia="zh-CN" w:bidi="ar-SA"/>
    </w:rPr>
  </w:style>
  <w:style w:type="paragraph" w:customStyle="1" w:styleId="59">
    <w:name w:val="修订3"/>
    <w:hidden/>
    <w:semiHidden/>
    <w:qFormat/>
    <w:uiPriority w:val="99"/>
    <w:rPr>
      <w:rFonts w:ascii="Times New Roman" w:hAnsi="Times New Roman" w:eastAsia="宋体" w:cstheme="minorBidi"/>
      <w:sz w:val="24"/>
      <w:szCs w:val="22"/>
      <w:lang w:val="en-US" w:eastAsia="zh-CN" w:bidi="ar-SA"/>
    </w:rPr>
  </w:style>
  <w:style w:type="character" w:customStyle="1" w:styleId="60">
    <w:name w:val="脚注文本 字符"/>
    <w:basedOn w:val="23"/>
    <w:link w:val="19"/>
    <w:semiHidden/>
    <w:qFormat/>
    <w:uiPriority w:val="99"/>
    <w:rPr>
      <w:rFonts w:ascii="Times New Roman" w:hAnsi="Times New Roman" w:eastAsia="宋体"/>
      <w:sz w:val="18"/>
      <w:szCs w:val="18"/>
    </w:rPr>
  </w:style>
  <w:style w:type="character" w:customStyle="1" w:styleId="61">
    <w:name w:val="批注文字 字符"/>
    <w:basedOn w:val="23"/>
    <w:link w:val="13"/>
    <w:qFormat/>
    <w:uiPriority w:val="99"/>
    <w:rPr>
      <w:rFonts w:cstheme="minorBidi"/>
      <w:sz w:val="24"/>
      <w:szCs w:val="22"/>
    </w:rPr>
  </w:style>
  <w:style w:type="character" w:customStyle="1" w:styleId="62">
    <w:name w:val="批注主题 字符"/>
    <w:basedOn w:val="61"/>
    <w:link w:val="21"/>
    <w:semiHidden/>
    <w:qFormat/>
    <w:uiPriority w:val="99"/>
    <w:rPr>
      <w:rFonts w:cstheme="minorBidi"/>
      <w:b/>
      <w:bCs/>
      <w:sz w:val="24"/>
      <w:szCs w:val="22"/>
    </w:rPr>
  </w:style>
  <w:style w:type="paragraph" w:customStyle="1" w:styleId="63">
    <w:name w:val="修订4"/>
    <w:hidden/>
    <w:unhideWhenUsed/>
    <w:qFormat/>
    <w:uiPriority w:val="99"/>
    <w:rPr>
      <w:rFonts w:ascii="Times New Roman" w:hAnsi="Times New Roman" w:eastAsia="宋体" w:cstheme="minorBidi"/>
      <w:sz w:val="24"/>
      <w:szCs w:val="22"/>
      <w:lang w:val="en-US" w:eastAsia="zh-CN" w:bidi="ar-SA"/>
    </w:rPr>
  </w:style>
  <w:style w:type="paragraph" w:customStyle="1" w:styleId="64">
    <w:name w:val="Revision"/>
    <w:hidden/>
    <w:unhideWhenUsed/>
    <w:qFormat/>
    <w:uiPriority w:val="99"/>
    <w:rPr>
      <w:rFonts w:ascii="Times New Roman" w:hAnsi="Times New Roman" w:eastAsia="宋体" w:cstheme="minorBidi"/>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7A8981-EEE0-4963-9C09-F16B8D60E476}">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2681</Words>
  <Characters>3013</Characters>
  <Lines>39</Lines>
  <Paragraphs>11</Paragraphs>
  <TotalTime>0</TotalTime>
  <ScaleCrop>false</ScaleCrop>
  <LinksUpToDate>false</LinksUpToDate>
  <CharactersWithSpaces>3017</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2022-07-28T02:51:00Z</dcterms:created>
  <dc:creator>admin</dc:creator>
  <cp:lastModifiedBy>吴振强</cp:lastModifiedBy>
  <dcterms:modified xsi:type="dcterms:W3CDTF">2022-09-20T00:26:59Z</dcterms:modified>
  <cp:revision>192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19D380661EA046EDACE55D71C210BC80</vt:lpwstr>
  </property>
</Properties>
</file>