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eastAsia="黑体"/>
          <w:sz w:val="32"/>
          <w:szCs w:val="32"/>
        </w:rPr>
      </w:pPr>
      <w:r>
        <w:rPr>
          <w:rFonts w:hint="eastAsia" w:ascii="黑体" w:eastAsia="黑体"/>
          <w:sz w:val="32"/>
          <w:szCs w:val="32"/>
        </w:rPr>
        <w:t xml:space="preserve">附件1 </w:t>
      </w:r>
    </w:p>
    <w:p>
      <w:pPr>
        <w:jc w:val="center"/>
        <w:rPr>
          <w:rFonts w:hint="eastAsia"/>
          <w:b/>
          <w:sz w:val="44"/>
          <w:szCs w:val="44"/>
        </w:rPr>
      </w:pPr>
    </w:p>
    <w:p>
      <w:pPr>
        <w:jc w:val="center"/>
        <w:rPr>
          <w:rFonts w:hint="eastAsia" w:ascii="创艺简标宋" w:hAnsi="创艺简标宋" w:eastAsia="创艺简标宋" w:cs="创艺简标宋"/>
          <w:b w:val="0"/>
          <w:bCs/>
          <w:sz w:val="44"/>
          <w:szCs w:val="44"/>
        </w:rPr>
      </w:pPr>
      <w:r>
        <w:rPr>
          <w:rFonts w:hint="eastAsia" w:ascii="创艺简标宋" w:hAnsi="创艺简标宋" w:eastAsia="创艺简标宋" w:cs="创艺简标宋"/>
          <w:b w:val="0"/>
          <w:bCs/>
          <w:sz w:val="44"/>
          <w:szCs w:val="44"/>
        </w:rPr>
        <w:t>挂牌督办重大火灾隐患单位名录</w:t>
      </w:r>
    </w:p>
    <w:p>
      <w:pPr>
        <w:pStyle w:val="2"/>
        <w:rPr>
          <w:rFonts w:hint="eastAsia"/>
        </w:rPr>
      </w:pPr>
    </w:p>
    <w:tbl>
      <w:tblPr>
        <w:tblStyle w:val="4"/>
        <w:tblW w:w="14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50"/>
        <w:gridCol w:w="1845"/>
        <w:gridCol w:w="1258"/>
        <w:gridCol w:w="1802"/>
        <w:gridCol w:w="4054"/>
        <w:gridCol w:w="148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blHeade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单位名称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单位地址</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单位</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联系人</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联系</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电话</w:t>
            </w:r>
          </w:p>
        </w:tc>
        <w:tc>
          <w:tcPr>
            <w:tcW w:w="4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重大隐患情况</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挂牌</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督办时间</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责令整改</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销案时间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中山市金彩树脂材料经营部</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中山市板芙镇白溪村白溪正街5号之一</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冷治容</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13392582440</w:t>
            </w:r>
          </w:p>
        </w:tc>
        <w:tc>
          <w:tcPr>
            <w:tcW w:w="4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该单位储存易燃易爆危险品的场所与相邻的居住场所防火间距小于国家工程建设消防技术标准规定值75%，不符合《建筑设计防火规范》GB50016-2014(2018年版)第3.4.1条之规定。</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2022年</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10月27日</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2022年11月21日前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043F6"/>
    <w:rsid w:val="0B30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黑体" w:eastAsia="黑体"/>
      <w:color w:val="000000"/>
      <w:kern w:val="0"/>
      <w:sz w:val="24"/>
    </w:rPr>
  </w:style>
  <w:style w:type="paragraph" w:styleId="3">
    <w:name w:val="footer"/>
    <w:basedOn w:val="1"/>
    <w:qFormat/>
    <w:uiPriority w:val="0"/>
    <w:pPr>
      <w:suppressLineNumbers w:val="0"/>
      <w:tabs>
        <w:tab w:val="center" w:pos="4153"/>
        <w:tab w:val="right" w:pos="8306"/>
      </w:tabs>
      <w:adjustRightInd/>
      <w:spacing w:line="240" w:lineRule="auto"/>
      <w:jc w:val="left"/>
    </w:pPr>
    <w:rPr>
      <w:rFonts w:eastAsia="宋体"/>
      <w:spacing w:val="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中山市板芙镇人民政府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2022-11-08T02:59:00Z</dcterms:created>
  <dc:creator>梁瑞权</dc:creator>
  <cp:lastModifiedBy>梁瑞权</cp:lastModifiedBy>
  <dcterms:modified xsi:type="dcterms:W3CDTF">2022-11-08T03:00:24Z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B3F34BABDAD24CBC8C7305BC053391ED</vt:lpwstr>
  </property>
</Properties>
</file>