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hAnsi="黑体" w:eastAsia="方正小标宋简体" w:cs="微软简标宋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微软简标宋"/>
          <w:sz w:val="44"/>
          <w:szCs w:val="44"/>
          <w:shd w:val="clear" w:color="auto" w:fill="FFFFFF"/>
        </w:rPr>
        <w:t>用户需求书</w:t>
      </w:r>
    </w:p>
    <w:p>
      <w:pPr>
        <w:pStyle w:val="3"/>
        <w:widowControl/>
        <w:shd w:val="clear" w:color="auto" w:fill="FFFFFF"/>
        <w:spacing w:beforeAutospacing="0" w:afterAutospacing="0" w:line="500" w:lineRule="exact"/>
        <w:ind w:firstLine="640" w:firstLineChars="200"/>
        <w:jc w:val="both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中山市民政局办公大楼一楼、五楼中央空调购置及安装项目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，供应单位需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按完全符合或不低于采购货物清单及其技术参数要求和商务要求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采购货物清单及其技术参数要求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需供应格力品牌的中央空调设备，潜在供应商可到现场勘查制定具体方案。具体技术参数如下：</w:t>
      </w:r>
    </w:p>
    <w:tbl>
      <w:tblPr>
        <w:tblStyle w:val="5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439"/>
        <w:gridCol w:w="3706"/>
        <w:gridCol w:w="891"/>
        <w:gridCol w:w="68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7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型号规格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39" w:type="dxa"/>
            <w:vMerge w:val="continue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706" w:type="dxa"/>
            <w:vMerge w:val="continue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1F空调改造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多联室外机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制冷量：45kW，制热量：50kW，功率:18.9kW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多联室外机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制冷量：30kW，制热量：35kW，功率:11.7kW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环绕型出风天井式室内机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制冷量：8.0kW，制热量：9.0kW,带冷凝水泵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环绕型出风天井式室内机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制冷量：11.2kW，制热量：12.5kW，带冷凝水泵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高效静音型风管室内机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制冷量：2.2kW，制热量：2.5kW,带冷凝水泵，纯热泵型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高效静音型风管室内机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制冷量：8.0kW，制热量：9.0kW,带冷凝水泵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线控器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XC71-33/H2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分歧管A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分歧管B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分歧管C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铜管及保温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￠6.35/9.52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铜管及保温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￠9.52/15.9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38.0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铜管及保温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￠9.52/19.1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26.0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铜管及保温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￠9.52/22.2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铜管及保温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￠12.7/25.4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70.0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铜管及保温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￠12.7/28.6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59.0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线管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Φ20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213.0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信号线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RVVSP-2*1.0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213.0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散流器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500*500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ABS材质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回风百叶（带滤网）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1500*300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ABS材质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检修口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500*500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镀锌钢板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1.0mm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20.0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橡塑保温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25mm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20.0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不锈钢304铜管槽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25.0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拆除旧设备及铜管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二次搬运费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旧设备放置于天面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冷媒充注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R410A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28.0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kg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扣板天花拆除及修复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19.0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石膏板天花拆除及修复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48.0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电线电缆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ZRYJV-5*16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80.0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漏电开关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40A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线控器更换底盒及修复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吊装费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管道支吊架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安全文明施工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安装辅材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5F空调改造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多联室外机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制冷量：50.4kW，制热量：56.5kW，功率，24kW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多联室外机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制冷量：25.2kW，制热量：27kW，功率，8.8kW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环绕型出风天井式室内机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制冷量：3.6kW，制热量：4.0kW,带冷凝水泵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环绕型出风天井式室内机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制冷量：4.5kW，制热量：5.0kW,带冷凝水泵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环绕型出风天井式室内机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制冷量：5.0kW，制热量：5.6kW,带冷凝水泵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环绕型出风天井式室内机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制冷量：5.6kW，制热量：6.3kW,带冷凝水泵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环绕型出风天井式室内机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制冷量：6.3kW，制热量：7.1kW,带冷凝水泵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环绕型出风天井式室内机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制冷量：7.1kW，制热量：8.0kW,带冷凝水泵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线控器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XC71-33/H2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分歧管A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分歧管B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分歧管C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铜管及保温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￠6.35/12.7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46.0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铜管及保温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￠9.52/15.9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铜管及保温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￠9.52/19.1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14.0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铜管及保温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￠9.52/22.2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28.0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铜管及保温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￠12.7/25.4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铜管及保温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￠12.7/28.6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铜管及保温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￠15.9/28.6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39.0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线管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Φ20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194.0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信号线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RVVSP-2*1.0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194.0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不锈钢304铜管槽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拆除旧设备及铜管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二次搬运费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旧设备放置于天面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冷媒充注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R410A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22.0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kg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扣板天花拆除及修复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44.0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石膏板天花拆除及修复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40.0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不锈钢304线槽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150*100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48.0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线控器更换底盒及修复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电线电缆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ZRYJV-5*25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40.0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电线电缆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ZRYJV-5*10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40.0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漏电开关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63A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漏电开关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16A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吊装费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原线槽拆除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48.0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管道支吊架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安全文明施工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安装辅材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1.0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商务要求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（一）包装、装卸、运输、保管及保险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1、设备材料的包装必须是制造商原厂包装，其包装均应有良好的防湿、防锈、防潮、防雨、防腐及防碰撞的措施。凡由于包装不良造成的损失和由此产生的费用均由供应单位承担。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2、供应单位负责将设备材料货到现场过程中的全部运输，包括装卸车、货物现场的搬运。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3、各种货物，必须提供装箱清单，按装箱清单验收货物。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4、货物在现场的保管由供应单位负责，直至项目安装、验收完毕。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5、货物在系统安装调试验收合格前的保险由供应单位负责，供应单位负责其派出的现场服务人员人身意外保险。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6、货物至采购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指定的使用现场的包装、保险及发运等环节和费用均由供应单位负责。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（二）质量保证及售后服务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1.质量保证期（简称“质保期”）为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年，质保期内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对所供货物实行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修、维护保养。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2.质保期内，如货物或零部件因非人为因素出现故障而造成短期停用时，则质保期和免费维修期相应顺延。如停用时间累计超过60天则质保期重新计算。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3.对采购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的服务通知，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在接报后1小时内响应，4小时内到达现场，48小时内处理完毕。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（三）交货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1.交货期为：自合同签订之日起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90个工作日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内完工。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2.交货地点：采购人指定地点。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）验收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本项目为交钥匙项目，包括所有设备安装调试。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总报价应包括货物及配件提供、施工设备费、机械费、设施费、劳务费、基本劳动保险金、检验（报检）费、材料费、安装费、运输费、临时工程费（包括支顶架）、缺陷修理费、管理费、利润、税金、所有一般风险、责任和业务费用，以及安装调试、验收、所有专项检测费、培训、技术服务（包括技术资料、图纸的提供）及质保期服务的全部费用。</w:t>
      </w:r>
    </w:p>
    <w:p>
      <w:pPr>
        <w:rPr>
          <w:rFonts w:hint="eastAsia" w:ascii="黑体" w:hAnsi="黑体" w:eastAsia="黑体" w:cs="黑体"/>
          <w:sz w:val="15"/>
          <w:szCs w:val="15"/>
          <w:lang w:eastAsia="zh-CN"/>
        </w:rPr>
        <w:sectPr>
          <w:pgSz w:w="11906" w:h="16838"/>
          <w:pgMar w:top="1587" w:right="1587" w:bottom="1587" w:left="1587" w:header="851" w:footer="992" w:gutter="0"/>
          <w:cols w:space="0" w:num="1"/>
          <w:docGrid w:type="lines" w:linePitch="318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8E357"/>
    <w:multiLevelType w:val="singleLevel"/>
    <w:tmpl w:val="8D88E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04F4A"/>
    <w:rsid w:val="2B30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Ansi="Courier New"/>
      <w:sz w:val="20"/>
      <w:szCs w:val="21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2022-11-29T09:08:00Z</dcterms:created>
  <dc:creator>Administrator</dc:creator>
  <cp:lastModifiedBy>Administrator</cp:lastModifiedBy>
  <dcterms:modified xsi:type="dcterms:W3CDTF">2022-11-29T09:09:02Z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