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442000001-2023-00024</w:t>
      </w:r>
    </w:p>
    <w:p>
      <w:pPr>
        <w:jc w:val="center"/>
      </w:pPr>
      <w:r>
        <w:rPr>
          <w:b/>
          <w:sz w:val="24"/>
        </w:rPr>
        <w:t>采购项目编号：</w:t>
      </w:r>
      <w:r>
        <w:rPr>
          <w:b/>
          <w:sz w:val="24"/>
        </w:rPr>
        <w:t>0724-2331ZS580200</w:t>
      </w:r>
    </w:p>
    <w:p>
      <w:pPr>
        <w:jc w:val="center"/>
      </w:pPr>
      <w:r>
        <w:rPr>
          <w:b/>
          <w:sz w:val="24"/>
        </w:rPr>
        <w:t>项目名称：</w:t>
      </w:r>
      <w:r>
        <w:rPr>
          <w:b/>
          <w:sz w:val="24"/>
        </w:rPr>
        <w:t>中山市石岐区税务分局税务服务项目</w:t>
      </w:r>
    </w:p>
    <w:p>
      <w:pPr>
        <w:jc w:val="center"/>
      </w:pPr>
      <w:r>
        <w:rPr>
          <w:b/>
          <w:sz w:val="24"/>
        </w:rPr>
        <w:t>采购人：</w:t>
      </w:r>
      <w:r>
        <w:rPr>
          <w:b/>
          <w:sz w:val="24"/>
        </w:rPr>
        <w:t>中山市石岐街道工业信息和科技商务局</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 磋商邀请</w:t>
      </w:r>
    </w:p>
    <w:p>
      <w:pPr>
        <w:ind w:firstLine="480"/>
      </w:pPr>
      <w:r>
        <w:rPr/>
        <w:t>国义招标股份有限公司</w:t>
      </w:r>
      <w:r>
        <w:rPr/>
        <w:t>受</w:t>
      </w:r>
      <w:r>
        <w:rPr/>
        <w:t>中山市石岐街道工业信息和科技商务局</w:t>
      </w:r>
      <w:r>
        <w:rPr/>
        <w:t>的委托，采用</w:t>
      </w:r>
      <w:r>
        <w:rPr/>
        <w:t>竞争性磋商</w:t>
      </w:r>
      <w:r>
        <w:rPr/>
        <w:t>方式组织采购</w:t>
      </w:r>
      <w:r>
        <w:rPr/>
        <w:t>中山市石岐区税务分局税务服务项目</w:t>
      </w:r>
      <w:r>
        <w:rPr/>
        <w:t>。欢迎符合资格条件的供应商参加。</w:t>
      </w:r>
    </w:p>
    <w:p>
      <w:r>
        <w:rPr>
          <w:b/>
          <w:sz w:val="28"/>
        </w:rPr>
        <w:t>一.项目概述</w:t>
      </w:r>
    </w:p>
    <w:p>
      <w:r>
        <w:rPr>
          <w:b/>
          <w:sz w:val="24"/>
        </w:rPr>
        <w:t>1.名称与编号</w:t>
      </w:r>
    </w:p>
    <w:p>
      <w:pPr>
        <w:ind w:firstLine="480"/>
      </w:pPr>
      <w:r>
        <w:rPr/>
        <w:t>采购项目名称：</w:t>
      </w:r>
      <w:r>
        <w:rPr/>
        <w:t>中山市石岐区税务分局税务服务项目</w:t>
      </w:r>
    </w:p>
    <w:p>
      <w:pPr>
        <w:ind w:firstLine="480"/>
      </w:pPr>
      <w:r>
        <w:rPr/>
        <w:t>采购计划编号：</w:t>
      </w:r>
      <w:r>
        <w:rPr/>
        <w:t>442000001-2023-00024</w:t>
      </w:r>
    </w:p>
    <w:p>
      <w:pPr>
        <w:ind w:firstLine="480"/>
      </w:pPr>
      <w:r>
        <w:rPr/>
        <w:t>采购项目编号：</w:t>
      </w:r>
      <w:r>
        <w:rPr/>
        <w:t>0724-2331ZS580200</w:t>
      </w:r>
    </w:p>
    <w:p>
      <w:pPr>
        <w:ind w:firstLine="480"/>
      </w:pPr>
      <w:r>
        <w:rPr/>
        <w:t>采购方式：</w:t>
      </w:r>
      <w:r>
        <w:rPr/>
        <w:t>竞争性磋商</w:t>
      </w:r>
    </w:p>
    <w:p>
      <w:pPr>
        <w:ind w:firstLine="480"/>
      </w:pPr>
      <w:r>
        <w:rPr/>
        <w:t>预算金额：</w:t>
      </w:r>
      <w:r>
        <w:rPr/>
        <w:t>3,900,000.00</w:t>
      </w:r>
      <w:r>
        <w:rPr/>
        <w:t>元</w:t>
      </w:r>
    </w:p>
    <w:p>
      <w:r>
        <w:rPr>
          <w:b/>
          <w:sz w:val="24"/>
        </w:rPr>
        <w:t>2.项目内容及需求情况（采购项目技术规格、参数及要求）</w:t>
      </w:r>
    </w:p>
    <w:p>
      <w:pPr>
        <w:ind w:firstLine="480"/>
      </w:pPr>
    </w:p>
    <w:p/>
    <w:p>
      <w:r>
        <w:rPr/>
        <w:t>采购包1(中山市石岐区税务分局税务服务项目):</w:t>
      </w:r>
    </w:p>
    <w:p>
      <w:r>
        <w:rPr/>
        <w:t>采购包预算金额：3,900,000.00元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其他税务服务</w:t>
            </w:r>
          </w:p>
        </w:tc>
        <w:tc>
          <w:tcPr>
            <w:tcW w:type="dxa" w:w="2136"/>
          </w:tcPr>
          <w:p>
            <w:r>
              <w:rPr/>
              <w:t>中山市石岐区税务分局税务服务项目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合同履行期限：服务合同期为36个月，具体起止期限以采购人与成交供应商签订的合同约定为准。采购人与成交供应商签订合同之日起7天内，成交供应商需进场开展工作，以确保能顺利开展工作。</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p/>
    <w:p>
      <w:r>
        <w:rPr/>
        <w:t>3）具有良好的商业信誉和健全的财务会计制度：2020年至2022年度内任意一年的年度财务报表(新成立公司提供成立至今的月或季度财务报表复印件)或银行出具的资信证明。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采购包1（中山市石岐区税务分局税务服务项目）：</w:t>
      </w:r>
      <w:r>
        <w:rPr/>
        <w:t>采购包整体专门面向中小企业（提供中小企业声明函）。</w:t>
      </w:r>
    </w:p>
    <w:p/>
    <w:p>
      <w:r>
        <w:rPr>
          <w:b/>
          <w:sz w:val="24"/>
        </w:rPr>
        <w:t>3.本项目特定的资格要求：</w:t>
      </w:r>
    </w:p>
    <w:p>
      <w:pPr>
        <w:ind w:firstLine="480"/>
      </w:pPr>
    </w:p>
    <w:p/>
    <w:p>
      <w:r>
        <w:rPr/>
        <w:t>采购包1（中山市石岐区税务分局税务服务项目）：</w:t>
      </w:r>
    </w:p>
    <w:p/>
    <w:p>
      <w:r>
        <w:rPr/>
        <w:t>1)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3)已领购本次采购文件。(具体方式详见本项目公告)</w:t>
      </w:r>
    </w:p>
    <w:p/>
    <w:p>
      <w:r>
        <w:rPr/>
        <w:t>4)本项目不接受联合体响应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中山市政府采购网（http://120.234.108.5:8088/zfcg/），中山市公共资源交易网（https://ggzyjy.zs.gov.cn/），国义招标股份有限公司（https://www.gmgitc.com）</w:t>
      </w:r>
    </w:p>
    <w:p>
      <w:r>
        <w:rPr>
          <w:b/>
          <w:sz w:val="28"/>
        </w:rPr>
        <w:t>六.本项目联系方式：</w:t>
      </w:r>
    </w:p>
    <w:p>
      <w:r>
        <w:rPr>
          <w:b/>
          <w:sz w:val="24"/>
        </w:rPr>
        <w:t>1.采购人信息</w:t>
      </w:r>
    </w:p>
    <w:p>
      <w:pPr>
        <w:ind w:firstLine="480"/>
      </w:pPr>
      <w:r>
        <w:rPr/>
        <w:t>名称：</w:t>
      </w:r>
      <w:r>
        <w:rPr/>
        <w:t>中山市石岐街道工业信息和科技商务局</w:t>
      </w:r>
    </w:p>
    <w:p>
      <w:pPr>
        <w:ind w:firstLine="480"/>
      </w:pPr>
      <w:r>
        <w:rPr/>
        <w:t>地址：</w:t>
      </w:r>
      <w:r>
        <w:rPr/>
        <w:t>中山市石岐区康华路18号</w:t>
      </w:r>
    </w:p>
    <w:p>
      <w:pPr>
        <w:ind w:firstLine="480"/>
      </w:pPr>
      <w:r>
        <w:rPr/>
        <w:t>联系方式：</w:t>
      </w:r>
      <w:r>
        <w:rPr/>
        <w:t>0760-23328556</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广东省广州市越秀区东风东路726号16-18楼/中山市石岐区民盈西路12号自编号为B213卡</w:t>
      </w:r>
    </w:p>
    <w:p>
      <w:pPr>
        <w:ind w:firstLine="480"/>
      </w:pPr>
      <w:r>
        <w:rPr/>
        <w:t>联系方式：</w:t>
      </w:r>
      <w:r>
        <w:rPr/>
        <w:t>0760-88798817/(020)37860539（zs@ebidding.com）</w:t>
      </w:r>
    </w:p>
    <w:p>
      <w:r>
        <w:rPr>
          <w:b/>
          <w:sz w:val="24"/>
        </w:rPr>
        <w:t>3.项目联系方式</w:t>
      </w:r>
    </w:p>
    <w:p>
      <w:pPr>
        <w:ind w:firstLine="480"/>
      </w:pPr>
      <w:r>
        <w:rPr/>
        <w:t>项目联系人：</w:t>
      </w:r>
      <w:r>
        <w:rPr/>
        <w:t>黄琼/李家荣</w:t>
      </w:r>
    </w:p>
    <w:p>
      <w:pPr>
        <w:ind w:firstLine="480"/>
      </w:pPr>
      <w:r>
        <w:rPr/>
        <w:t>电话：</w:t>
      </w:r>
      <w:r>
        <w:rPr/>
        <w:t>0760-88798817/(020)37860539（zs@ebidding.com）</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57"/>
        <w:jc w:val="both"/>
      </w:pPr>
      <w:r>
        <w:rPr>
          <w:sz w:val="21"/>
        </w:rPr>
        <w:t>1.</w:t>
      </w:r>
      <w:r>
        <w:rPr>
          <w:sz w:val="21"/>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3655"/>
        <w:gridCol w:w="1562"/>
        <w:gridCol w:w="3090"/>
      </w:tblGrid>
      <w:tr>
        <w:tc>
          <w:tcPr>
            <w:tcW w:type="dxa" w:w="3655"/>
            <w:tcBorders>
              <w:top w:val="single" w:color="000000" w:sz="4"/>
              <w:left w:val="single" w:color="000000" w:sz="4"/>
              <w:bottom w:val="single" w:color="000000" w:sz="4"/>
              <w:right w:val="single" w:color="000000" w:sz="4"/>
            </w:tcBorders>
            <w:vAlign w:val="top"/>
          </w:tcPr>
          <w:p>
            <w:pPr>
              <w:jc w:val="center"/>
            </w:pPr>
            <w:r>
              <w:rPr>
                <w:b/>
                <w:sz w:val="21"/>
              </w:rPr>
              <w:t>标的名称</w:t>
            </w:r>
          </w:p>
        </w:tc>
        <w:tc>
          <w:tcPr>
            <w:tcW w:type="dxa" w:w="156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090"/>
            <w:tcBorders>
              <w:top w:val="single" w:color="000000" w:sz="4"/>
              <w:left w:val="none" w:color="000000" w:sz="4"/>
              <w:bottom w:val="single" w:color="000000" w:sz="4"/>
              <w:right w:val="single" w:color="000000" w:sz="4"/>
            </w:tcBorders>
            <w:vAlign w:val="top"/>
          </w:tcPr>
          <w:p>
            <w:pPr>
              <w:jc w:val="center"/>
            </w:pPr>
            <w:r>
              <w:rPr>
                <w:b/>
                <w:sz w:val="21"/>
              </w:rPr>
              <w:t>最高限价</w:t>
            </w:r>
          </w:p>
        </w:tc>
      </w:tr>
      <w:tr>
        <w:tc>
          <w:tcPr>
            <w:tcW w:type="dxa" w:w="3655"/>
            <w:tcBorders>
              <w:top w:val="none" w:color="000000" w:sz="4"/>
              <w:left w:val="single" w:color="000000" w:sz="4"/>
              <w:bottom w:val="single" w:color="000000" w:sz="4"/>
              <w:right w:val="single" w:color="000000" w:sz="4"/>
            </w:tcBorders>
            <w:vAlign w:val="top"/>
          </w:tcPr>
          <w:p>
            <w:pPr>
              <w:jc w:val="center"/>
            </w:pPr>
            <w:r>
              <w:rPr>
                <w:sz w:val="21"/>
              </w:rPr>
              <w:t>中山市石岐区税务分局税务服务项目</w:t>
            </w:r>
          </w:p>
        </w:tc>
        <w:tc>
          <w:tcPr>
            <w:tcW w:type="dxa" w:w="1562"/>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c>
          <w:tcPr>
            <w:tcW w:type="dxa" w:w="3090"/>
            <w:tcBorders>
              <w:top w:val="none" w:color="000000" w:sz="4"/>
              <w:left w:val="none" w:color="000000" w:sz="4"/>
              <w:bottom w:val="single" w:color="000000" w:sz="4"/>
              <w:right w:val="single" w:color="000000" w:sz="4"/>
            </w:tcBorders>
            <w:vAlign w:val="top"/>
          </w:tcPr>
          <w:p>
            <w:pPr>
              <w:jc w:val="center"/>
            </w:pPr>
            <w:r>
              <w:rPr>
                <w:sz w:val="21"/>
              </w:rPr>
              <w:t>人民币</w:t>
            </w:r>
            <w:r>
              <w:rPr>
                <w:sz w:val="21"/>
              </w:rPr>
              <w:t>3,900,000.00</w:t>
            </w:r>
            <w:r>
              <w:rPr>
                <w:sz w:val="21"/>
              </w:rPr>
              <w:t>元</w:t>
            </w:r>
          </w:p>
        </w:tc>
      </w:tr>
    </w:tbl>
    <w:p>
      <w:pPr>
        <w:ind w:firstLine="420"/>
        <w:jc w:val="both"/>
      </w:pPr>
      <w:r>
        <w:rPr>
          <w:sz w:val="21"/>
        </w:rPr>
        <w:t>本项目采购本国服务。</w:t>
      </w:r>
    </w:p>
    <w:p>
      <w:pPr>
        <w:ind w:firstLine="357"/>
        <w:jc w:val="both"/>
      </w:pPr>
      <w:r>
        <w:rPr>
          <w:sz w:val="21"/>
        </w:rPr>
        <w:t>详细技术规范请参阅招标文件中的用户需求书。投标人必须对所投全部内容进行投标报价，如有缺漏，将导致投标无效。如投标报价超出最高限价，将导致投标无效。</w:t>
      </w:r>
    </w:p>
    <w:p>
      <w:pPr>
        <w:ind w:firstLine="357"/>
        <w:jc w:val="both"/>
      </w:pPr>
      <w:r>
        <w:rPr>
          <w:sz w:val="21"/>
        </w:rPr>
        <w:t>2.</w:t>
      </w:r>
      <w:r>
        <w:rPr>
          <w:sz w:val="21"/>
        </w:rPr>
        <w:t>服务期限：</w:t>
      </w:r>
      <w:r>
        <w:rPr>
          <w:sz w:val="21"/>
        </w:rPr>
        <w:t>服务合同期为</w:t>
      </w:r>
      <w:r>
        <w:rPr>
          <w:sz w:val="21"/>
        </w:rPr>
        <w:t>36</w:t>
      </w:r>
      <w:r>
        <w:rPr>
          <w:sz w:val="21"/>
        </w:rPr>
        <w:t>个月，具体起止期限以采购人与成交供应商签订的合同约定为准。采购人与成交供应商签订合同之日起</w:t>
      </w:r>
      <w:r>
        <w:rPr>
          <w:sz w:val="21"/>
        </w:rPr>
        <w:t>7</w:t>
      </w:r>
      <w:r>
        <w:rPr>
          <w:sz w:val="21"/>
        </w:rPr>
        <w:t>天内，成交供应商需进场开展工作，以确保能顺利开展工作。</w:t>
      </w:r>
    </w:p>
    <w:p>
      <w:pPr>
        <w:ind w:firstLine="357"/>
        <w:jc w:val="both"/>
      </w:pPr>
      <w:r>
        <w:rPr>
          <w:sz w:val="21"/>
        </w:rPr>
        <w:t>3.</w:t>
      </w:r>
      <w:r>
        <w:rPr>
          <w:sz w:val="21"/>
        </w:rPr>
        <w:t>服务地点：采购人指定地点。</w:t>
      </w:r>
    </w:p>
    <w:p>
      <w:pPr>
        <w:ind w:firstLine="357"/>
        <w:jc w:val="both"/>
      </w:pPr>
      <w:r>
        <w:rPr>
          <w:sz w:val="21"/>
        </w:rPr>
        <w:t>4</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号）、《节能产品政府采购实施意见》的通知》（财库［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号）等。</w:t>
      </w:r>
    </w:p>
    <w:p>
      <w:pPr>
        <w:ind w:firstLine="357"/>
        <w:jc w:val="both"/>
      </w:pPr>
      <w:r>
        <w:rPr>
          <w:sz w:val="21"/>
        </w:rPr>
        <w:t>5.</w:t>
      </w:r>
      <w:r>
        <w:rPr>
          <w:sz w:val="21"/>
        </w:rPr>
        <w:t>本项目不允许转包，未经采购人书面同意不得分包。</w:t>
      </w:r>
    </w:p>
    <w:p>
      <w:pPr>
        <w:jc w:val="both"/>
      </w:pPr>
    </w:p>
    <w:p/>
    <w:p>
      <w:pPr>
        <w:ind w:firstLine="480"/>
      </w:pPr>
    </w:p>
    <w:p/>
    <w:p>
      <w:r>
        <w:rPr/>
        <w:t>采购包1（中山市石岐区税务分局税务服务项目）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服务合同期为36个月，具体起止期限以采购人与成交供应商签订的合同约定为准。采购人与成交供应商签订合同之日起7天内，成交供应商需进场开展工作，以确保能顺利开展工作。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1期：支付比例100%,★1、按月度结算，成交供应商于每月  5  日前将上月服务总费用的等额发票送达采购人，经采购人核实无误后，采购人于每月的  10  日前将上月总费用汇到成交供应商的帐户；2、因采购人使用的是财政资金，采购人在前款规定的付款时间为向财政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1、采购人按考核标准（详见附件）及供应商提供的月度工作小结每月对成交供应商进行考核，按照每月度考评分数给与相应的费用，按月进行结算支付。月度考评得分满分为100分，90分以上（含90分）为验收合格。具体情况如下： （1）当月度考评分数在90分以上（含90分）为月验收合格，采购人则按照合同中“费用的结算及支付”的规定支付成交供应商当月服务费； （2）当月度考评分数在80分以上（含80分）90分以下，采购人则按当月费用的97%结算； （3）当月度考评分数低于80分，采购人则按当月度费用的95%结算。</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保密</w:t>
            </w:r>
          </w:p>
        </w:tc>
        <w:tc>
          <w:tcPr>
            <w:tcW w:type="dxa" w:w="2076"/>
          </w:tcPr>
          <w:p>
            <w:pPr>
              <w:jc w:val="left"/>
            </w:pPr>
            <w:r>
              <w:rPr/>
              <w:t>未经采购人书面同意，成交供应商及派驻到采购人工作的服务人员对采购人的有关信息、数据和资料、财物负有严格保密、保护的责任。</w:t>
            </w:r>
          </w:p>
        </w:tc>
      </w:tr>
      <w:tr>
        <w:tc>
          <w:tcPr>
            <w:tcW w:type="dxa" w:w="2076"/>
          </w:tcPr>
          <w:p>
            <w:pPr>
              <w:jc w:val="center"/>
            </w:pPr>
          </w:p>
        </w:tc>
        <w:tc>
          <w:tcPr>
            <w:tcW w:type="dxa" w:w="2076"/>
          </w:tcPr>
          <w:p>
            <w:pPr>
              <w:jc w:val="center"/>
            </w:pPr>
            <w:r>
              <w:rPr/>
              <w:t>2</w:t>
            </w:r>
          </w:p>
        </w:tc>
        <w:tc>
          <w:tcPr>
            <w:tcW w:type="dxa" w:w="2076"/>
          </w:tcPr>
          <w:p>
            <w:pPr>
              <w:jc w:val="left"/>
            </w:pPr>
            <w:r>
              <w:rPr/>
              <w:t>违约责任与赔偿损失</w:t>
            </w:r>
          </w:p>
        </w:tc>
        <w:tc>
          <w:tcPr>
            <w:tcW w:type="dxa" w:w="2076"/>
          </w:tcPr>
          <w:p>
            <w:pPr>
              <w:jc w:val="left"/>
            </w:pPr>
            <w:r>
              <w:rPr/>
              <w:t>2.1、成交供应商提供的服务不符合规定的，或未按约定履行义务的，视为成交供应商违约，成交供应商每次须向采购人支付本合同总价（即：采购人在服务期限内累计已向成交供应商支付的服务费用总额，下同）5‰的违约金。服务期内，成交供应商累计出现 2次违约行为的，采购人有权解除合同并要求成交供应商承担采购人因此受到的损失。 2.2、成交供应商未能按合同规定的时间提供服务，从逾期之日起每日按合同总价3‰的数额向采购人支付违约金；逾期半个月以上的，采购人有权终止合同，由此造成的采购人经济损失由成交供应商承担。 2.3、采购人无正当理由拒收接受服务，到期非因服务费用金额有误等成交供应商原因拒付服务款项的，采购人向成交供应商偿付合同总价的5‰的违约金。 2.4、其他违约责任按《中华人民共和国民法典》处理。</w:t>
            </w:r>
          </w:p>
        </w:tc>
      </w:tr>
      <w:tr>
        <w:tc>
          <w:tcPr>
            <w:tcW w:type="dxa" w:w="2076"/>
          </w:tcPr>
          <w:p>
            <w:pPr>
              <w:jc w:val="center"/>
            </w:pPr>
          </w:p>
        </w:tc>
        <w:tc>
          <w:tcPr>
            <w:tcW w:type="dxa" w:w="2076"/>
          </w:tcPr>
          <w:p>
            <w:pPr>
              <w:jc w:val="center"/>
            </w:pPr>
            <w:r>
              <w:rPr/>
              <w:t>3</w:t>
            </w:r>
          </w:p>
        </w:tc>
        <w:tc>
          <w:tcPr>
            <w:tcW w:type="dxa" w:w="2076"/>
          </w:tcPr>
          <w:p>
            <w:pPr>
              <w:jc w:val="left"/>
            </w:pPr>
            <w:r>
              <w:rPr/>
              <w:t>争端的解决</w:t>
            </w:r>
          </w:p>
        </w:tc>
        <w:tc>
          <w:tcPr>
            <w:tcW w:type="dxa" w:w="2076"/>
          </w:tcPr>
          <w:p>
            <w:pPr>
              <w:jc w:val="left"/>
            </w:pPr>
            <w:r>
              <w:rPr/>
              <w:t>合同执行过程中发生的任何争议，双方应先友好协商解决，若双方不能通过友好协商解决的，任何一方可向采购人所在地人民法院提起诉讼。败诉方应承担对方因此而支出的诉讼费、律师费等费用。</w:t>
            </w:r>
          </w:p>
        </w:tc>
      </w:tr>
      <w:tr>
        <w:tc>
          <w:tcPr>
            <w:tcW w:type="dxa" w:w="2076"/>
          </w:tcPr>
          <w:p>
            <w:pPr>
              <w:jc w:val="center"/>
            </w:pPr>
          </w:p>
        </w:tc>
        <w:tc>
          <w:tcPr>
            <w:tcW w:type="dxa" w:w="2076"/>
          </w:tcPr>
          <w:p>
            <w:pPr>
              <w:jc w:val="center"/>
            </w:pPr>
            <w:r>
              <w:rPr/>
              <w:t>4</w:t>
            </w:r>
          </w:p>
        </w:tc>
        <w:tc>
          <w:tcPr>
            <w:tcW w:type="dxa" w:w="2076"/>
          </w:tcPr>
          <w:p>
            <w:pPr>
              <w:jc w:val="left"/>
            </w:pPr>
            <w:r>
              <w:rPr/>
              <w:t>不可抗力</w:t>
            </w:r>
          </w:p>
        </w:tc>
        <w:tc>
          <w:tcPr>
            <w:tcW w:type="dxa" w:w="2076"/>
          </w:tcPr>
          <w:p>
            <w:pPr>
              <w:jc w:val="left"/>
            </w:pPr>
            <w:r>
              <w:rPr/>
              <w:t>任何一方由于不可抗力原因不能履行协议时，应在不可抗力时间结束后1日内向对方通报，以减轻可能给对方造成的损失，在取得有关机构的不可抗力证明或双方谅解确认后，允许延期履行或修订协议，并根据情况可部分或全部免于承担违约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其他税务服务</w:t>
            </w:r>
          </w:p>
        </w:tc>
        <w:tc>
          <w:tcPr>
            <w:tcW w:type="dxa" w:w="933"/>
          </w:tcPr>
          <w:p>
            <w:pPr>
              <w:jc w:val="left"/>
            </w:pPr>
            <w:r>
              <w:rPr/>
              <w:t>中山市石岐区税务分局税务服务项目</w:t>
            </w:r>
          </w:p>
        </w:tc>
        <w:tc>
          <w:tcPr>
            <w:tcW w:type="dxa" w:w="933"/>
          </w:tcPr>
          <w:p>
            <w:pPr>
              <w:jc w:val="left"/>
            </w:pPr>
            <w:r>
              <w:rPr/>
              <w:t>项</w:t>
            </w:r>
          </w:p>
        </w:tc>
        <w:tc>
          <w:tcPr>
            <w:tcW w:type="dxa" w:w="933"/>
          </w:tcPr>
          <w:p>
            <w:pPr>
              <w:jc w:val="right"/>
            </w:pPr>
            <w:r>
              <w:rPr/>
              <w:t>1.00</w:t>
            </w:r>
          </w:p>
        </w:tc>
        <w:tc>
          <w:tcPr>
            <w:tcW w:type="dxa" w:w="933"/>
          </w:tcPr>
          <w:p>
            <w:pPr>
              <w:jc w:val="right"/>
            </w:pPr>
            <w:r>
              <w:rPr/>
              <w:t>3,900,000.00</w:t>
            </w:r>
          </w:p>
        </w:tc>
        <w:tc>
          <w:tcPr>
            <w:tcW w:type="dxa" w:w="933"/>
          </w:tcPr>
          <w:p>
            <w:pPr>
              <w:jc w:val="right"/>
            </w:pPr>
            <w:r>
              <w:rPr/>
              <w:t>3,900,000.00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中山市石岐区税务分局税务服务项目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一、服务项目内容</w:t>
            </w:r>
          </w:p>
          <w:p>
            <w:r>
              <w:rPr/>
              <w:t>1.政务便民项目服务</w:t>
            </w:r>
          </w:p>
          <w:tbl>
            <w:tblPr>
              <w:tblBorders>
                <w:top w:val="none" w:color="000000" w:sz="4"/>
                <w:left w:val="none" w:color="000000" w:sz="4"/>
                <w:bottom w:val="none" w:color="000000" w:sz="4"/>
                <w:right w:val="none" w:color="000000" w:sz="4"/>
                <w:insideH w:val="none"/>
                <w:insideV w:val="none"/>
              </w:tblBorders>
            </w:tblPr>
            <w:tblGrid>
              <w:gridCol w:w="298"/>
              <w:gridCol w:w="1206"/>
              <w:gridCol w:w="2367"/>
              <w:gridCol w:w="471"/>
              <w:gridCol w:w="1218"/>
            </w:tblGrid>
            <w:tr>
              <w:tc>
                <w:tcPr>
                  <w:tcW w:type="dxa" w:w="298"/>
                  <w:tcBorders>
                    <w:top w:val="single" w:color="000000" w:sz="4"/>
                    <w:left w:val="single" w:color="000000" w:sz="4"/>
                    <w:bottom w:val="single" w:color="000000" w:sz="4"/>
                    <w:right w:val="single" w:color="000000" w:sz="4"/>
                  </w:tcBorders>
                  <w:shd w:fill="D0CECE"/>
                  <w:vAlign w:val="top"/>
                </w:tcPr>
                <w:p>
                  <w:pPr>
                    <w:jc w:val="center"/>
                  </w:pPr>
                  <w:r>
                    <w:rPr>
                      <w:b/>
                      <w:sz w:val="21"/>
                    </w:rPr>
                    <w:t>序</w:t>
                  </w:r>
                </w:p>
                <w:p>
                  <w:pPr>
                    <w:jc w:val="center"/>
                  </w:pPr>
                  <w:r>
                    <w:rPr>
                      <w:b/>
                      <w:sz w:val="21"/>
                    </w:rPr>
                    <w:t>号</w:t>
                  </w:r>
                </w:p>
              </w:tc>
              <w:tc>
                <w:tcPr>
                  <w:tcW w:type="dxa" w:w="1206"/>
                  <w:tcBorders>
                    <w:top w:val="single" w:color="000000" w:sz="4"/>
                    <w:left w:val="none" w:color="000000" w:sz="4"/>
                    <w:bottom w:val="single" w:color="000000" w:sz="4"/>
                    <w:right w:val="single" w:color="000000" w:sz="4"/>
                  </w:tcBorders>
                  <w:shd w:fill="D0CECE"/>
                  <w:vAlign w:val="top"/>
                </w:tcPr>
                <w:p>
                  <w:pPr>
                    <w:jc w:val="center"/>
                  </w:pPr>
                  <w:r>
                    <w:rPr>
                      <w:b/>
                      <w:sz w:val="21"/>
                    </w:rPr>
                    <w:t>项目内容</w:t>
                  </w:r>
                </w:p>
              </w:tc>
              <w:tc>
                <w:tcPr>
                  <w:tcW w:type="dxa" w:w="2367"/>
                  <w:tcBorders>
                    <w:top w:val="single" w:color="000000" w:sz="4"/>
                    <w:left w:val="none" w:color="000000" w:sz="4"/>
                    <w:bottom w:val="single" w:color="000000" w:sz="4"/>
                    <w:right w:val="single" w:color="000000" w:sz="4"/>
                  </w:tcBorders>
                  <w:shd w:fill="D0CECE"/>
                  <w:vAlign w:val="top"/>
                </w:tcPr>
                <w:p>
                  <w:pPr>
                    <w:jc w:val="center"/>
                  </w:pPr>
                  <w:r>
                    <w:rPr>
                      <w:b/>
                      <w:sz w:val="21"/>
                    </w:rPr>
                    <w:t>具体内容</w:t>
                  </w:r>
                </w:p>
              </w:tc>
              <w:tc>
                <w:tcPr>
                  <w:tcW w:type="dxa" w:w="471"/>
                  <w:tcBorders>
                    <w:top w:val="single" w:color="000000" w:sz="4"/>
                    <w:left w:val="none" w:color="000000" w:sz="4"/>
                    <w:bottom w:val="single" w:color="000000" w:sz="4"/>
                    <w:right w:val="single" w:color="000000" w:sz="4"/>
                  </w:tcBorders>
                  <w:shd w:fill="D0CECE"/>
                  <w:vAlign w:val="top"/>
                </w:tcPr>
                <w:p>
                  <w:pPr>
                    <w:jc w:val="center"/>
                  </w:pPr>
                  <w:r>
                    <w:rPr>
                      <w:b/>
                      <w:sz w:val="21"/>
                    </w:rPr>
                    <w:t>量化</w:t>
                  </w:r>
                </w:p>
                <w:p>
                  <w:pPr>
                    <w:jc w:val="center"/>
                  </w:pPr>
                  <w:r>
                    <w:rPr>
                      <w:b/>
                      <w:sz w:val="21"/>
                    </w:rPr>
                    <w:t>单位</w:t>
                  </w:r>
                </w:p>
              </w:tc>
              <w:tc>
                <w:tcPr>
                  <w:tcW w:type="dxa" w:w="1218"/>
                  <w:tcBorders>
                    <w:top w:val="single" w:color="000000" w:sz="4"/>
                    <w:left w:val="none" w:color="000000" w:sz="4"/>
                    <w:bottom w:val="single" w:color="000000" w:sz="4"/>
                    <w:right w:val="single" w:color="000000" w:sz="4"/>
                  </w:tcBorders>
                  <w:shd w:fill="D0CECE"/>
                  <w:vAlign w:val="top"/>
                </w:tcPr>
                <w:p>
                  <w:pPr>
                    <w:jc w:val="center"/>
                  </w:pPr>
                  <w:r>
                    <w:rPr>
                      <w:b/>
                      <w:sz w:val="21"/>
                    </w:rPr>
                    <w:t>指标数量</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前台导税服务</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120</w:t>
                  </w:r>
                  <w:r>
                    <w:rPr>
                      <w:sz w:val="21"/>
                    </w:rPr>
                    <w:t>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自助办税区引导服务</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60000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咨询服务语音坐席</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17600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个税</w:t>
                  </w:r>
                  <w:r>
                    <w:rPr>
                      <w:sz w:val="21"/>
                    </w:rPr>
                    <w:t>App辅导专窗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79000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个人代开发票辅导专窗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20000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一手房契税线上申报辅导专窗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40000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车船税及车辆购置税服务专窗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20000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社保服务专窗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170000</w:t>
                  </w: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06"/>
                  <w:tcBorders>
                    <w:top w:val="none" w:color="000000" w:sz="4"/>
                    <w:left w:val="none" w:color="000000" w:sz="4"/>
                    <w:bottom w:val="single" w:color="000000" w:sz="4"/>
                    <w:right w:val="single" w:color="000000" w:sz="4"/>
                  </w:tcBorders>
                  <w:vAlign w:val="top"/>
                </w:tcPr>
                <w:p>
                  <w:pPr>
                    <w:jc w:val="center"/>
                  </w:pPr>
                  <w:r>
                    <w:rPr>
                      <w:sz w:val="21"/>
                    </w:rPr>
                    <w:t>政务便民项目</w:t>
                  </w:r>
                </w:p>
              </w:tc>
              <w:tc>
                <w:tcPr>
                  <w:tcW w:type="dxa" w:w="2367"/>
                  <w:tcBorders>
                    <w:top w:val="none" w:color="000000" w:sz="4"/>
                    <w:left w:val="none" w:color="000000" w:sz="4"/>
                    <w:bottom w:val="single" w:color="000000" w:sz="4"/>
                    <w:right w:val="single" w:color="000000" w:sz="4"/>
                  </w:tcBorders>
                  <w:vAlign w:val="top"/>
                </w:tcPr>
                <w:p>
                  <w:pPr>
                    <w:jc w:val="center"/>
                  </w:pPr>
                  <w:r>
                    <w:rPr>
                      <w:sz w:val="21"/>
                    </w:rPr>
                    <w:t>医保服务专窗</w:t>
                  </w:r>
                </w:p>
              </w:tc>
              <w:tc>
                <w:tcPr>
                  <w:tcW w:type="dxa" w:w="4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218"/>
                  <w:tcBorders>
                    <w:top w:val="none" w:color="000000" w:sz="4"/>
                    <w:left w:val="none" w:color="000000" w:sz="4"/>
                    <w:bottom w:val="single" w:color="000000" w:sz="4"/>
                    <w:right w:val="single" w:color="000000" w:sz="4"/>
                  </w:tcBorders>
                  <w:vAlign w:val="top"/>
                </w:tcPr>
                <w:p>
                  <w:pPr>
                    <w:jc w:val="center"/>
                  </w:pPr>
                  <w:r>
                    <w:rPr>
                      <w:sz w:val="21"/>
                    </w:rPr>
                    <w:t>不少于</w:t>
                  </w:r>
                  <w:r>
                    <w:rPr>
                      <w:sz w:val="21"/>
                    </w:rPr>
                    <w:t>170000</w:t>
                  </w:r>
                </w:p>
              </w:tc>
            </w:tr>
          </w:tbl>
        </w:tc>
      </w:tr>
      <w:tr>
        <w:tc>
          <w:tcPr>
            <w:tcW w:type="dxa" w:w="2076"/>
          </w:tcPr>
          <w:p/>
        </w:tc>
        <w:tc>
          <w:tcPr>
            <w:tcW w:type="dxa" w:w="415"/>
          </w:tcPr>
          <w:p>
            <w:r>
              <w:rPr/>
              <w:t>2</w:t>
            </w:r>
          </w:p>
        </w:tc>
        <w:tc>
          <w:tcPr>
            <w:tcW w:type="dxa" w:w="5814"/>
          </w:tcPr>
          <w:p>
            <w:r>
              <w:rPr/>
              <w:t>2.对企业政策指导服务</w:t>
            </w:r>
          </w:p>
          <w:tbl>
            <w:tblPr>
              <w:tblBorders>
                <w:top w:val="none" w:color="000000" w:sz="4"/>
                <w:left w:val="none" w:color="000000" w:sz="4"/>
                <w:bottom w:val="none" w:color="000000" w:sz="4"/>
                <w:right w:val="none" w:color="000000" w:sz="4"/>
                <w:insideH w:val="none"/>
                <w:insideV w:val="none"/>
              </w:tblBorders>
            </w:tblPr>
            <w:tblGrid>
              <w:gridCol w:w="349"/>
              <w:gridCol w:w="1212"/>
              <w:gridCol w:w="2507"/>
              <w:gridCol w:w="454"/>
              <w:gridCol w:w="1037"/>
            </w:tblGrid>
            <w:tr>
              <w:tc>
                <w:tcPr>
                  <w:tcW w:type="dxa" w:w="349"/>
                  <w:tcBorders>
                    <w:top w:val="single" w:color="000000" w:sz="4"/>
                    <w:left w:val="single" w:color="000000" w:sz="4"/>
                    <w:bottom w:val="single" w:color="000000" w:sz="4"/>
                    <w:right w:val="single" w:color="000000" w:sz="4"/>
                  </w:tcBorders>
                  <w:shd w:fill="D0CECE"/>
                  <w:vAlign w:val="top"/>
                </w:tcPr>
                <w:p>
                  <w:pPr>
                    <w:jc w:val="center"/>
                  </w:pPr>
                  <w:r>
                    <w:rPr>
                      <w:b/>
                      <w:sz w:val="21"/>
                    </w:rPr>
                    <w:t>序号</w:t>
                  </w:r>
                </w:p>
              </w:tc>
              <w:tc>
                <w:tcPr>
                  <w:tcW w:type="dxa" w:w="1212"/>
                  <w:tcBorders>
                    <w:top w:val="single" w:color="000000" w:sz="4"/>
                    <w:left w:val="none" w:color="000000" w:sz="4"/>
                    <w:bottom w:val="single" w:color="000000" w:sz="4"/>
                    <w:right w:val="single" w:color="000000" w:sz="4"/>
                  </w:tcBorders>
                  <w:shd w:fill="D0CECE"/>
                  <w:vAlign w:val="top"/>
                </w:tcPr>
                <w:p>
                  <w:pPr>
                    <w:jc w:val="center"/>
                  </w:pPr>
                  <w:r>
                    <w:rPr>
                      <w:b/>
                      <w:sz w:val="21"/>
                    </w:rPr>
                    <w:t>项目内容</w:t>
                  </w:r>
                </w:p>
              </w:tc>
              <w:tc>
                <w:tcPr>
                  <w:tcW w:type="dxa" w:w="2507"/>
                  <w:tcBorders>
                    <w:top w:val="single" w:color="000000" w:sz="4"/>
                    <w:left w:val="none" w:color="000000" w:sz="4"/>
                    <w:bottom w:val="single" w:color="000000" w:sz="4"/>
                    <w:right w:val="single" w:color="000000" w:sz="4"/>
                  </w:tcBorders>
                  <w:shd w:fill="D0CECE"/>
                  <w:vAlign w:val="top"/>
                </w:tcPr>
                <w:p>
                  <w:pPr>
                    <w:jc w:val="center"/>
                  </w:pPr>
                  <w:r>
                    <w:rPr>
                      <w:b/>
                      <w:sz w:val="21"/>
                    </w:rPr>
                    <w:t>具体内容</w:t>
                  </w:r>
                </w:p>
              </w:tc>
              <w:tc>
                <w:tcPr>
                  <w:tcW w:type="dxa" w:w="454"/>
                  <w:tcBorders>
                    <w:top w:val="single" w:color="000000" w:sz="4"/>
                    <w:left w:val="none" w:color="000000" w:sz="4"/>
                    <w:bottom w:val="single" w:color="000000" w:sz="4"/>
                    <w:right w:val="single" w:color="000000" w:sz="4"/>
                  </w:tcBorders>
                  <w:shd w:fill="D0CECE"/>
                  <w:vAlign w:val="top"/>
                </w:tcPr>
                <w:p>
                  <w:pPr>
                    <w:jc w:val="center"/>
                  </w:pPr>
                  <w:r>
                    <w:rPr>
                      <w:b/>
                      <w:sz w:val="21"/>
                    </w:rPr>
                    <w:t>量化单位</w:t>
                  </w:r>
                </w:p>
              </w:tc>
              <w:tc>
                <w:tcPr>
                  <w:tcW w:type="dxa" w:w="1037"/>
                  <w:tcBorders>
                    <w:top w:val="single" w:color="000000" w:sz="4"/>
                    <w:left w:val="none" w:color="000000" w:sz="4"/>
                    <w:bottom w:val="single" w:color="000000" w:sz="4"/>
                    <w:right w:val="single" w:color="000000" w:sz="4"/>
                  </w:tcBorders>
                  <w:shd w:fill="D0CECE"/>
                  <w:vAlign w:val="top"/>
                </w:tcPr>
                <w:p>
                  <w:pPr>
                    <w:jc w:val="center"/>
                  </w:pPr>
                  <w:r>
                    <w:rPr>
                      <w:b/>
                      <w:sz w:val="21"/>
                    </w:rPr>
                    <w:t>指标数量</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优化营商环境税收政策指导服务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于</w:t>
                  </w:r>
                  <w:r>
                    <w:rPr>
                      <w:sz w:val="21"/>
                    </w:rPr>
                    <w:t>600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减税降费税收政策指导服务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20000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企业所得税年度汇算清缴辅导服务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11000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个人所得税年度汇算清缴辅导服务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3</w:t>
                  </w:r>
                  <w:r>
                    <w:rPr>
                      <w:sz w:val="21"/>
                    </w:rPr>
                    <w:t>5000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纳   税   信    用 等 级 评定指导服务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11700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增值税专用发票电子化辅导服务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不少于</w:t>
                  </w:r>
                  <w:r>
                    <w:rPr>
                      <w:sz w:val="21"/>
                    </w:rPr>
                    <w:t>1600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大企业辅导服务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不少于</w:t>
                  </w:r>
                  <w:r>
                    <w:rPr>
                      <w:sz w:val="21"/>
                    </w:rPr>
                    <w:t>500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二手房交易</w:t>
                  </w:r>
                  <w:r>
                    <w:rPr>
                      <w:sz w:val="21"/>
                    </w:rPr>
                    <w:t>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不少于</w:t>
                  </w:r>
                  <w:r>
                    <w:rPr>
                      <w:sz w:val="21"/>
                    </w:rPr>
                    <w:t>500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小规模企业辅导服务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w:t>
                  </w:r>
                  <w:r>
                    <w:rPr>
                      <w:sz w:val="21"/>
                    </w:rPr>
                    <w:t>10000</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对企业的政策指导服务</w:t>
                  </w:r>
                </w:p>
              </w:tc>
              <w:tc>
                <w:tcPr>
                  <w:tcW w:type="dxa" w:w="2507"/>
                  <w:tcBorders>
                    <w:top w:val="none" w:color="000000" w:sz="4"/>
                    <w:left w:val="none" w:color="000000" w:sz="4"/>
                    <w:bottom w:val="single" w:color="000000" w:sz="4"/>
                    <w:right w:val="single" w:color="000000" w:sz="4"/>
                  </w:tcBorders>
                  <w:vAlign w:val="top"/>
                </w:tcPr>
                <w:p>
                  <w:pPr>
                    <w:jc w:val="center"/>
                  </w:pPr>
                  <w:r>
                    <w:rPr>
                      <w:sz w:val="21"/>
                    </w:rPr>
                    <w:t>股权转让辅导服务</w:t>
                  </w:r>
                </w:p>
              </w:tc>
              <w:tc>
                <w:tcPr>
                  <w:tcW w:type="dxa" w:w="45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037"/>
                  <w:tcBorders>
                    <w:top w:val="none" w:color="000000" w:sz="4"/>
                    <w:left w:val="none" w:color="000000" w:sz="4"/>
                    <w:bottom w:val="single" w:color="000000" w:sz="4"/>
                    <w:right w:val="single" w:color="000000" w:sz="4"/>
                  </w:tcBorders>
                  <w:vAlign w:val="top"/>
                </w:tcPr>
                <w:p>
                  <w:pPr>
                    <w:jc w:val="center"/>
                  </w:pPr>
                  <w:r>
                    <w:rPr>
                      <w:sz w:val="21"/>
                    </w:rPr>
                    <w:t>不少于</w:t>
                  </w:r>
                  <w:r>
                    <w:rPr>
                      <w:sz w:val="21"/>
                    </w:rPr>
                    <w:t>2000</w:t>
                  </w:r>
                </w:p>
              </w:tc>
            </w:tr>
          </w:tbl>
          <w:p>
            <w:r>
              <w:rPr>
                <w:b/>
                <w:sz w:val="18"/>
                <w:u w:val="single"/>
              </w:rPr>
              <w:t>注：以上工作服务项目数量为</w:t>
            </w:r>
            <w:r>
              <w:rPr>
                <w:b/>
                <w:sz w:val="18"/>
                <w:u w:val="single"/>
              </w:rPr>
              <w:t>12</w:t>
            </w:r>
            <w:r>
              <w:rPr>
                <w:b/>
                <w:sz w:val="18"/>
                <w:u w:val="single"/>
              </w:rPr>
              <w:t>个月的预估数量，合同实施时以实际结算为准。</w:t>
            </w:r>
          </w:p>
        </w:tc>
      </w:tr>
      <w:tr>
        <w:tc>
          <w:tcPr>
            <w:tcW w:type="dxa" w:w="2076"/>
          </w:tcPr>
          <w:p/>
        </w:tc>
        <w:tc>
          <w:tcPr>
            <w:tcW w:type="dxa" w:w="415"/>
          </w:tcPr>
          <w:p>
            <w:r>
              <w:rPr/>
              <w:t>3</w:t>
            </w:r>
          </w:p>
        </w:tc>
        <w:tc>
          <w:tcPr>
            <w:tcW w:type="dxa" w:w="5814"/>
          </w:tcPr>
          <w:p>
            <w:r>
              <w:rPr/>
              <w:t>二、服务要求</w:t>
            </w:r>
          </w:p>
          <w:p>
            <w:r>
              <w:rPr/>
              <w:t>1、根据服务项目内容及预估数量测算岗位设置，成交供应商须提供不少于15名工作人员。</w:t>
            </w:r>
          </w:p>
        </w:tc>
      </w:tr>
      <w:tr>
        <w:tc>
          <w:tcPr>
            <w:tcW w:type="dxa" w:w="2076"/>
          </w:tcPr>
          <w:p/>
        </w:tc>
        <w:tc>
          <w:tcPr>
            <w:tcW w:type="dxa" w:w="415"/>
          </w:tcPr>
          <w:p>
            <w:r>
              <w:rPr/>
              <w:t>4</w:t>
            </w:r>
          </w:p>
        </w:tc>
        <w:tc>
          <w:tcPr>
            <w:tcW w:type="dxa" w:w="5814"/>
          </w:tcPr>
          <w:p>
            <w:r>
              <w:rPr/>
              <w:t>2、成交供应商招聘符合采购人需求的工作人员，根据采购人的需求，对应聘人员的学历、专业、职称及专业资格等进行初步把关。</w:t>
            </w:r>
          </w:p>
        </w:tc>
      </w:tr>
      <w:tr>
        <w:tc>
          <w:tcPr>
            <w:tcW w:type="dxa" w:w="2076"/>
          </w:tcPr>
          <w:p/>
        </w:tc>
        <w:tc>
          <w:tcPr>
            <w:tcW w:type="dxa" w:w="415"/>
          </w:tcPr>
          <w:p>
            <w:r>
              <w:rPr/>
              <w:t>5</w:t>
            </w:r>
          </w:p>
        </w:tc>
        <w:tc>
          <w:tcPr>
            <w:tcW w:type="dxa" w:w="5814"/>
          </w:tcPr>
          <w:p>
            <w:r>
              <w:rPr/>
              <w:t>3、成交供应商对工作人员入职手续的办理，根据工作人员的学历等确定工资级别、实习期限等，签订劳动合同。成交供应商负责对工作人员的资料进行审核，确保工作人员资料的真实性以及无犯罪记录和违反计划生育政策。</w:t>
            </w:r>
          </w:p>
        </w:tc>
      </w:tr>
      <w:tr>
        <w:tc>
          <w:tcPr>
            <w:tcW w:type="dxa" w:w="2076"/>
          </w:tcPr>
          <w:p/>
        </w:tc>
        <w:tc>
          <w:tcPr>
            <w:tcW w:type="dxa" w:w="415"/>
          </w:tcPr>
          <w:p>
            <w:r>
              <w:rPr/>
              <w:t>6</w:t>
            </w:r>
          </w:p>
        </w:tc>
        <w:tc>
          <w:tcPr>
            <w:tcW w:type="dxa" w:w="5814"/>
          </w:tcPr>
          <w:p>
            <w:r>
              <w:rPr/>
              <w:t>4、成交供应商统计工作人员的考勤，为工作人员发放工资，代扣缴个人所得税，缴纳各类社会保险金，购买住房公积金等。</w:t>
            </w:r>
          </w:p>
        </w:tc>
      </w:tr>
      <w:tr>
        <w:tc>
          <w:tcPr>
            <w:tcW w:type="dxa" w:w="2076"/>
          </w:tcPr>
          <w:p/>
        </w:tc>
        <w:tc>
          <w:tcPr>
            <w:tcW w:type="dxa" w:w="415"/>
          </w:tcPr>
          <w:p>
            <w:r>
              <w:rPr/>
              <w:t>7</w:t>
            </w:r>
          </w:p>
        </w:tc>
        <w:tc>
          <w:tcPr>
            <w:tcW w:type="dxa" w:w="5814"/>
          </w:tcPr>
          <w:p>
            <w:r>
              <w:rPr/>
              <w:t>5、成交供应商为工作人员组织年度体检，并将体检结果复印给采购人。</w:t>
            </w:r>
          </w:p>
        </w:tc>
      </w:tr>
      <w:tr>
        <w:tc>
          <w:tcPr>
            <w:tcW w:type="dxa" w:w="2076"/>
          </w:tcPr>
          <w:p/>
        </w:tc>
        <w:tc>
          <w:tcPr>
            <w:tcW w:type="dxa" w:w="415"/>
          </w:tcPr>
          <w:p>
            <w:r>
              <w:rPr/>
              <w:t>8</w:t>
            </w:r>
          </w:p>
        </w:tc>
        <w:tc>
          <w:tcPr>
            <w:tcW w:type="dxa" w:w="5814"/>
          </w:tcPr>
          <w:p>
            <w:r>
              <w:rPr/>
              <w:t>6、成交供应商跟踪办理工伤事故和人身意外事故，包括工伤死亡赔偿、工作时间交通死亡赔偿、工伤事故赔偿等。</w:t>
            </w:r>
          </w:p>
        </w:tc>
      </w:tr>
      <w:tr>
        <w:tc>
          <w:tcPr>
            <w:tcW w:type="dxa" w:w="2076"/>
          </w:tcPr>
          <w:p/>
        </w:tc>
        <w:tc>
          <w:tcPr>
            <w:tcW w:type="dxa" w:w="415"/>
          </w:tcPr>
          <w:p>
            <w:r>
              <w:rPr/>
              <w:t>9</w:t>
            </w:r>
          </w:p>
        </w:tc>
        <w:tc>
          <w:tcPr>
            <w:tcW w:type="dxa" w:w="5814"/>
          </w:tcPr>
          <w:p>
            <w:r>
              <w:rPr/>
              <w:t>7、由成交供应商出具工作人员的各类人事证明。</w:t>
            </w:r>
          </w:p>
        </w:tc>
      </w:tr>
      <w:tr>
        <w:tc>
          <w:tcPr>
            <w:tcW w:type="dxa" w:w="2076"/>
          </w:tcPr>
          <w:p/>
        </w:tc>
        <w:tc>
          <w:tcPr>
            <w:tcW w:type="dxa" w:w="415"/>
          </w:tcPr>
          <w:p>
            <w:r>
              <w:rPr/>
              <w:t>10</w:t>
            </w:r>
          </w:p>
        </w:tc>
        <w:tc>
          <w:tcPr>
            <w:tcW w:type="dxa" w:w="5814"/>
          </w:tcPr>
          <w:p>
            <w:r>
              <w:rPr/>
              <w:t>8、由成交供应商负责工作人员劳动纠纷处理，解除、终止劳动合同处理，以及跟工作人员解除劳动关系补偿金的处理。</w:t>
            </w:r>
          </w:p>
        </w:tc>
      </w:tr>
      <w:tr>
        <w:tc>
          <w:tcPr>
            <w:tcW w:type="dxa" w:w="2076"/>
          </w:tcPr>
          <w:p/>
        </w:tc>
        <w:tc>
          <w:tcPr>
            <w:tcW w:type="dxa" w:w="415"/>
          </w:tcPr>
          <w:p>
            <w:r>
              <w:rPr/>
              <w:t>11</w:t>
            </w:r>
          </w:p>
        </w:tc>
        <w:tc>
          <w:tcPr>
            <w:tcW w:type="dxa" w:w="5814"/>
          </w:tcPr>
          <w:p>
            <w:r>
              <w:rPr/>
              <w:t>9、由成交供应商制定年度绩效考核方案，每年底对工作人员进行年度绩效考核，并依据考核结果发放绩效奖等。</w:t>
            </w:r>
          </w:p>
        </w:tc>
      </w:tr>
      <w:tr>
        <w:tc>
          <w:tcPr>
            <w:tcW w:type="dxa" w:w="2076"/>
          </w:tcPr>
          <w:p/>
        </w:tc>
        <w:tc>
          <w:tcPr>
            <w:tcW w:type="dxa" w:w="415"/>
          </w:tcPr>
          <w:p>
            <w:r>
              <w:rPr/>
              <w:t>12</w:t>
            </w:r>
          </w:p>
        </w:tc>
        <w:tc>
          <w:tcPr>
            <w:tcW w:type="dxa" w:w="5814"/>
          </w:tcPr>
          <w:p>
            <w:r>
              <w:rPr/>
              <w:t>三、管理要求</w:t>
            </w:r>
          </w:p>
          <w:p>
            <w:r>
              <w:rPr/>
              <w:t>1、成交供应商应定岗定责、统一管理，采取定岗方式统一管理。</w:t>
            </w:r>
          </w:p>
        </w:tc>
      </w:tr>
      <w:tr>
        <w:tc>
          <w:tcPr>
            <w:tcW w:type="dxa" w:w="2076"/>
          </w:tcPr>
          <w:p/>
        </w:tc>
        <w:tc>
          <w:tcPr>
            <w:tcW w:type="dxa" w:w="415"/>
          </w:tcPr>
          <w:p>
            <w:r>
              <w:rPr/>
              <w:t>13</w:t>
            </w:r>
          </w:p>
        </w:tc>
        <w:tc>
          <w:tcPr>
            <w:tcW w:type="dxa" w:w="5814"/>
          </w:tcPr>
          <w:p>
            <w:r>
              <w:rPr/>
              <w:t>2、成交供应商要遵从采购人的要求，在指定的工作场所完成事务类工作，遵守和维护工作秩序。</w:t>
            </w:r>
          </w:p>
        </w:tc>
      </w:tr>
      <w:tr>
        <w:tc>
          <w:tcPr>
            <w:tcW w:type="dxa" w:w="2076"/>
          </w:tcPr>
          <w:p/>
        </w:tc>
        <w:tc>
          <w:tcPr>
            <w:tcW w:type="dxa" w:w="415"/>
          </w:tcPr>
          <w:p>
            <w:r>
              <w:rPr/>
              <w:t>14</w:t>
            </w:r>
          </w:p>
        </w:tc>
        <w:tc>
          <w:tcPr>
            <w:tcW w:type="dxa" w:w="5814"/>
          </w:tcPr>
          <w:p>
            <w:r>
              <w:rPr/>
              <w:t>3、合同签订后，成交供应商未能在10天内正常开展项目运营工作，则视为成交供应商违约，采购人有权终止合同。</w:t>
            </w:r>
          </w:p>
        </w:tc>
      </w:tr>
      <w:tr>
        <w:tc>
          <w:tcPr>
            <w:tcW w:type="dxa" w:w="2076"/>
          </w:tcPr>
          <w:p/>
        </w:tc>
        <w:tc>
          <w:tcPr>
            <w:tcW w:type="dxa" w:w="415"/>
          </w:tcPr>
          <w:p>
            <w:r>
              <w:rPr/>
              <w:t>15</w:t>
            </w:r>
          </w:p>
        </w:tc>
        <w:tc>
          <w:tcPr>
            <w:tcW w:type="dxa" w:w="5814"/>
          </w:tcPr>
          <w:p>
            <w:r>
              <w:rPr/>
              <w:t>4、成交供应商不得利用工作之便，进行任何非法或本项目范围外的活动，不得损坏、丢失、涂改、抽换、伪造档案，不得擅自修改、复</w:t>
            </w:r>
            <w:r>
              <w:rPr/>
              <w:t>制案件档案资料带离工作场所。如经发现，采购人有权终止合同，构成犯罪的，依法追究刑事责任。</w:t>
            </w:r>
          </w:p>
        </w:tc>
      </w:tr>
      <w:tr>
        <w:tc>
          <w:tcPr>
            <w:tcW w:type="dxa" w:w="2076"/>
          </w:tcPr>
          <w:p/>
        </w:tc>
        <w:tc>
          <w:tcPr>
            <w:tcW w:type="dxa" w:w="415"/>
          </w:tcPr>
          <w:p>
            <w:r>
              <w:rPr/>
              <w:t>16</w:t>
            </w:r>
          </w:p>
        </w:tc>
        <w:tc>
          <w:tcPr>
            <w:tcW w:type="dxa" w:w="5814"/>
          </w:tcPr>
          <w:p>
            <w:r>
              <w:rPr/>
              <w:t>5、在服务期间，工作人员须严格遵守采购人的相关工作守则和作息时间，不得迟到、早退、随意旷工，不得因请假影响原有工作。</w:t>
            </w:r>
          </w:p>
        </w:tc>
      </w:tr>
      <w:tr>
        <w:tc>
          <w:tcPr>
            <w:tcW w:type="dxa" w:w="2076"/>
          </w:tcPr>
          <w:p/>
        </w:tc>
        <w:tc>
          <w:tcPr>
            <w:tcW w:type="dxa" w:w="415"/>
          </w:tcPr>
          <w:p>
            <w:r>
              <w:rPr/>
              <w:t>17</w:t>
            </w:r>
          </w:p>
        </w:tc>
        <w:tc>
          <w:tcPr>
            <w:tcW w:type="dxa" w:w="5814"/>
          </w:tcPr>
          <w:p>
            <w:r>
              <w:rPr/>
              <w:t>6、在实施服务过程中，采购人有权制定项目服务考核表，对成交供应商服务质量进行监督检查，如发现问题，有权向成交供应商提出整改意见；成交供应商应在收到整改意见后三个工作日内将整改情况及配套管理制度等正式回函采购人；如整改达不到要求的，采购人有权按考核标准内容对成交供应商进行扣分。</w:t>
            </w:r>
          </w:p>
        </w:tc>
      </w:tr>
      <w:tr>
        <w:tc>
          <w:tcPr>
            <w:tcW w:type="dxa" w:w="2076"/>
          </w:tcPr>
          <w:p/>
        </w:tc>
        <w:tc>
          <w:tcPr>
            <w:tcW w:type="dxa" w:w="415"/>
          </w:tcPr>
          <w:p>
            <w:r>
              <w:rPr/>
              <w:t>18</w:t>
            </w:r>
          </w:p>
        </w:tc>
        <w:tc>
          <w:tcPr>
            <w:tcW w:type="dxa" w:w="5814"/>
          </w:tcPr>
          <w:p>
            <w:r>
              <w:rPr/>
              <w:t>7、供应商应综合考虑人员的稳定性，服务期内，按时、按质保证完成服务内容。在服务期内，因成交供应商派驻的工作人员离职、请休假等原因影响服务质量的，成交供应商应提前合理安排人员接替，确保工作的稳定性、持续性、连续性，如因成交供应商不及时补充工作人员，导致不能按时、按质保证服务质量的，采购人有权按考核标准内容对成交供应商进行扣分。</w:t>
            </w:r>
          </w:p>
        </w:tc>
      </w:tr>
      <w:tr>
        <w:tc>
          <w:tcPr>
            <w:tcW w:type="dxa" w:w="2076"/>
          </w:tcPr>
          <w:p/>
        </w:tc>
        <w:tc>
          <w:tcPr>
            <w:tcW w:type="dxa" w:w="415"/>
          </w:tcPr>
          <w:p>
            <w:r>
              <w:rPr/>
              <w:t>19</w:t>
            </w:r>
          </w:p>
        </w:tc>
        <w:tc>
          <w:tcPr>
            <w:tcW w:type="dxa" w:w="5814"/>
          </w:tcPr>
          <w:p>
            <w:r>
              <w:rPr/>
              <w:t>8、成交供应商与采购人签署保密协议，加强工作人员的安全保密教育，约束工作人员保证不以任何方式对外泄露保密信息。如经发现，采购人有权终止外包服务采购合同，构成犯罪的，依法追究刑事责任。</w:t>
            </w:r>
          </w:p>
        </w:tc>
      </w:tr>
      <w:tr>
        <w:tc>
          <w:tcPr>
            <w:tcW w:type="dxa" w:w="2076"/>
          </w:tcPr>
          <w:p/>
        </w:tc>
        <w:tc>
          <w:tcPr>
            <w:tcW w:type="dxa" w:w="415"/>
          </w:tcPr>
          <w:p>
            <w:r>
              <w:rPr/>
              <w:t>20</w:t>
            </w:r>
          </w:p>
        </w:tc>
        <w:tc>
          <w:tcPr>
            <w:tcW w:type="dxa" w:w="5814"/>
          </w:tcPr>
          <w:p>
            <w:r>
              <w:rPr/>
              <w:t>9、成交供应商应当建立完善的人力资源管理机制，人员的进驻与离职均需经采购人审核并备案，并建立完整的人事档案交采购人备案。</w:t>
            </w:r>
          </w:p>
        </w:tc>
      </w:tr>
      <w:tr>
        <w:tc>
          <w:tcPr>
            <w:tcW w:type="dxa" w:w="2076"/>
          </w:tcPr>
          <w:p/>
        </w:tc>
        <w:tc>
          <w:tcPr>
            <w:tcW w:type="dxa" w:w="415"/>
          </w:tcPr>
          <w:p>
            <w:r>
              <w:rPr/>
              <w:t>21</w:t>
            </w:r>
          </w:p>
        </w:tc>
        <w:tc>
          <w:tcPr>
            <w:tcW w:type="dxa" w:w="5814"/>
          </w:tcPr>
          <w:p>
            <w:r>
              <w:rPr/>
              <w:t>四、工作成果交付和验收：</w:t>
            </w:r>
          </w:p>
          <w:p>
            <w:r>
              <w:rPr/>
              <w:t>成交供应商应按服务要求按时保质保量地完成服务工作，并按该项目服务内容，按照约定的数量、质量和周期向采购人交付工作成果。采购人应对成交供应商提交的工作成果按约定质量标准进行验收，并出具验收意见及评分。</w:t>
            </w:r>
          </w:p>
        </w:tc>
      </w:tr>
      <w:tr>
        <w:tc>
          <w:tcPr>
            <w:tcW w:type="dxa" w:w="2076"/>
          </w:tcPr>
          <w:p/>
        </w:tc>
        <w:tc>
          <w:tcPr>
            <w:tcW w:type="dxa" w:w="415"/>
          </w:tcPr>
          <w:p>
            <w:r>
              <w:rPr/>
              <w:t>22</w:t>
            </w:r>
          </w:p>
        </w:tc>
        <w:tc>
          <w:tcPr>
            <w:tcW w:type="dxa" w:w="5814"/>
          </w:tcPr>
          <w:p>
            <w:r>
              <w:rPr/>
              <w:t>五、对供应商的其他要求</w:t>
            </w:r>
          </w:p>
          <w:p>
            <w:r>
              <w:rPr/>
              <w:t>1、采购人有权监督成交供应商履行该协议的情况，如发现有不符本协议约定的，有权要求成交供应商限期整改。</w:t>
            </w:r>
          </w:p>
        </w:tc>
      </w:tr>
      <w:tr>
        <w:tc>
          <w:tcPr>
            <w:tcW w:type="dxa" w:w="2076"/>
          </w:tcPr>
          <w:p/>
        </w:tc>
        <w:tc>
          <w:tcPr>
            <w:tcW w:type="dxa" w:w="415"/>
          </w:tcPr>
          <w:p>
            <w:r>
              <w:rPr/>
              <w:t>23</w:t>
            </w:r>
          </w:p>
        </w:tc>
        <w:tc>
          <w:tcPr>
            <w:tcW w:type="dxa" w:w="5814"/>
          </w:tcPr>
          <w:p>
            <w:r>
              <w:rPr/>
              <w:t>2、采购人有权要求成交供应商随时就该协议项下的服务情况向采购人进行汇报，成交供应商不得有任何隐瞒。</w:t>
            </w:r>
          </w:p>
        </w:tc>
      </w:tr>
      <w:tr>
        <w:tc>
          <w:tcPr>
            <w:tcW w:type="dxa" w:w="2076"/>
          </w:tcPr>
          <w:p/>
        </w:tc>
        <w:tc>
          <w:tcPr>
            <w:tcW w:type="dxa" w:w="415"/>
          </w:tcPr>
          <w:p>
            <w:r>
              <w:rPr/>
              <w:t>24</w:t>
            </w:r>
          </w:p>
        </w:tc>
        <w:tc>
          <w:tcPr>
            <w:tcW w:type="dxa" w:w="5814"/>
          </w:tcPr>
          <w:p>
            <w:r>
              <w:rPr/>
              <w:t>3、成交供应商未按要求提供服务或项目服务考核不合格且整改后还是不合格的，采购人有权终止合同，成交供应商应当配合办理交接手续并赔偿采购人的相关损失。</w:t>
            </w:r>
          </w:p>
        </w:tc>
      </w:tr>
      <w:tr>
        <w:tc>
          <w:tcPr>
            <w:tcW w:type="dxa" w:w="2076"/>
          </w:tcPr>
          <w:p/>
        </w:tc>
        <w:tc>
          <w:tcPr>
            <w:tcW w:type="dxa" w:w="415"/>
          </w:tcPr>
          <w:p>
            <w:r>
              <w:rPr/>
              <w:t>25</w:t>
            </w:r>
          </w:p>
        </w:tc>
        <w:tc>
          <w:tcPr>
            <w:tcW w:type="dxa" w:w="5814"/>
          </w:tcPr>
          <w:p>
            <w:r>
              <w:rPr/>
              <w:t>4、采购人应按服务合同约定向成交供应商支付本合同约定的费用。</w:t>
            </w:r>
          </w:p>
        </w:tc>
      </w:tr>
      <w:tr>
        <w:tc>
          <w:tcPr>
            <w:tcW w:type="dxa" w:w="2076"/>
          </w:tcPr>
          <w:p/>
        </w:tc>
        <w:tc>
          <w:tcPr>
            <w:tcW w:type="dxa" w:w="415"/>
          </w:tcPr>
          <w:p>
            <w:r>
              <w:rPr/>
              <w:t>26</w:t>
            </w:r>
          </w:p>
        </w:tc>
        <w:tc>
          <w:tcPr>
            <w:tcW w:type="dxa" w:w="5814"/>
          </w:tcPr>
          <w:p>
            <w:r>
              <w:rPr/>
              <w:t>5、成交供应商需要为采购人提供常设的投诉热线服务，并对投诉内容进行及时跟踪、回访。需要按采购人相关规定严格执行。</w:t>
            </w:r>
          </w:p>
        </w:tc>
      </w:tr>
      <w:tr>
        <w:tc>
          <w:tcPr>
            <w:tcW w:type="dxa" w:w="2076"/>
          </w:tcPr>
          <w:p/>
        </w:tc>
        <w:tc>
          <w:tcPr>
            <w:tcW w:type="dxa" w:w="415"/>
          </w:tcPr>
          <w:p>
            <w:r>
              <w:rPr/>
              <w:t>27</w:t>
            </w:r>
          </w:p>
        </w:tc>
        <w:tc>
          <w:tcPr>
            <w:tcW w:type="dxa" w:w="5814"/>
          </w:tcPr>
          <w:p>
            <w:r>
              <w:rPr/>
              <w:t>6、在服务期内，成交供应商应对管理模式进行改进，向采购人提供更优的管理服务，但对于更改或优化的内容，需要得到采购人的认可方能执行。</w:t>
            </w:r>
          </w:p>
        </w:tc>
      </w:tr>
      <w:tr>
        <w:tc>
          <w:tcPr>
            <w:tcW w:type="dxa" w:w="2076"/>
          </w:tcPr>
          <w:p/>
        </w:tc>
        <w:tc>
          <w:tcPr>
            <w:tcW w:type="dxa" w:w="415"/>
          </w:tcPr>
          <w:p>
            <w:r>
              <w:rPr/>
              <w:t>28</w:t>
            </w:r>
          </w:p>
        </w:tc>
        <w:tc>
          <w:tcPr>
            <w:tcW w:type="dxa" w:w="5814"/>
          </w:tcPr>
          <w:p>
            <w:r>
              <w:rPr/>
              <w:t>7、成交供应商须主动接受采购人的指导、检查、监督及协调，同意按照采购人考核办法对服务质量进行考核。</w:t>
            </w:r>
          </w:p>
        </w:tc>
      </w:tr>
      <w:tr>
        <w:tc>
          <w:tcPr>
            <w:tcW w:type="dxa" w:w="2076"/>
          </w:tcPr>
          <w:p/>
        </w:tc>
        <w:tc>
          <w:tcPr>
            <w:tcW w:type="dxa" w:w="415"/>
          </w:tcPr>
          <w:p>
            <w:r>
              <w:rPr/>
              <w:t>29</w:t>
            </w:r>
          </w:p>
        </w:tc>
        <w:tc>
          <w:tcPr>
            <w:tcW w:type="dxa" w:w="5814"/>
          </w:tcPr>
          <w:p>
            <w:r>
              <w:rPr/>
              <w:t>8、成交供应商派驻采购人的工作人员的劳动关系属成交供应商，其一切劳动关系、工资福利、社会保险、住房公积金、代扣代缴个人所得税等均由成交供应商与其发生关系。</w:t>
            </w:r>
          </w:p>
        </w:tc>
      </w:tr>
      <w:tr>
        <w:tc>
          <w:tcPr>
            <w:tcW w:type="dxa" w:w="2076"/>
          </w:tcPr>
          <w:p/>
        </w:tc>
        <w:tc>
          <w:tcPr>
            <w:tcW w:type="dxa" w:w="415"/>
          </w:tcPr>
          <w:p>
            <w:r>
              <w:rPr/>
              <w:t>30</w:t>
            </w:r>
          </w:p>
        </w:tc>
        <w:tc>
          <w:tcPr>
            <w:tcW w:type="dxa" w:w="5814"/>
          </w:tcPr>
          <w:p>
            <w:r>
              <w:rPr/>
              <w:t>9、成交供应商的工作人员应参加过岗前培训和在岗业务培训，如有需要，成交供应商应派人员参加采购人组织的相关业务培训。</w:t>
            </w:r>
          </w:p>
        </w:tc>
      </w:tr>
      <w:tr>
        <w:tc>
          <w:tcPr>
            <w:tcW w:type="dxa" w:w="2076"/>
          </w:tcPr>
          <w:p/>
        </w:tc>
        <w:tc>
          <w:tcPr>
            <w:tcW w:type="dxa" w:w="415"/>
          </w:tcPr>
          <w:p>
            <w:r>
              <w:rPr/>
              <w:t>31</w:t>
            </w:r>
          </w:p>
        </w:tc>
        <w:tc>
          <w:tcPr>
            <w:tcW w:type="dxa" w:w="5814"/>
          </w:tcPr>
          <w:p>
            <w:r>
              <w:rPr/>
              <w:t>10、在服务期间，如采购人需要成交供应商在服务现场提供现场服务的，要求成交供应商接到服务通知后1小时内电话响应，在2小时内派专职人员赶到现场并到达现场处理问题。</w:t>
            </w:r>
          </w:p>
        </w:tc>
      </w:tr>
      <w:tr>
        <w:tc>
          <w:tcPr>
            <w:tcW w:type="dxa" w:w="2076"/>
          </w:tcPr>
          <w:p/>
        </w:tc>
        <w:tc>
          <w:tcPr>
            <w:tcW w:type="dxa" w:w="415"/>
          </w:tcPr>
          <w:p>
            <w:r>
              <w:rPr/>
              <w:t>32</w:t>
            </w:r>
          </w:p>
        </w:tc>
        <w:tc>
          <w:tcPr>
            <w:tcW w:type="dxa" w:w="5814"/>
          </w:tcPr>
          <w:p>
            <w:r>
              <w:rPr/>
              <w:t>11、服务期满后，成交供应商应妥善处理退场移交、人员安置。</w:t>
            </w:r>
          </w:p>
        </w:tc>
      </w:tr>
      <w:tr>
        <w:tc>
          <w:tcPr>
            <w:tcW w:type="dxa" w:w="2076"/>
          </w:tcPr>
          <w:p/>
        </w:tc>
        <w:tc>
          <w:tcPr>
            <w:tcW w:type="dxa" w:w="415"/>
          </w:tcPr>
          <w:p>
            <w:r>
              <w:rPr/>
              <w:t>33</w:t>
            </w:r>
          </w:p>
        </w:tc>
        <w:tc>
          <w:tcPr>
            <w:tcW w:type="dxa" w:w="5814"/>
          </w:tcPr>
          <w:p>
            <w:r>
              <w:rPr/>
              <w:t>六、报价要求</w:t>
            </w:r>
          </w:p>
          <w:p>
            <w:r>
              <w:rPr/>
              <w:t>1</w:t>
            </w:r>
            <w:r>
              <w:rPr>
                <w:color w:val="000000"/>
                <w:sz w:val="20"/>
              </w:rPr>
              <w:t>、供应商必须承诺本次报价包括了与本次服务项目相关的全部费用，不另向采购人收费。</w:t>
            </w:r>
          </w:p>
        </w:tc>
      </w:tr>
      <w:tr>
        <w:tc>
          <w:tcPr>
            <w:tcW w:type="dxa" w:w="2076"/>
          </w:tcPr>
          <w:p/>
        </w:tc>
        <w:tc>
          <w:tcPr>
            <w:tcW w:type="dxa" w:w="415"/>
          </w:tcPr>
          <w:p>
            <w:r>
              <w:rPr/>
              <w:t>34</w:t>
            </w:r>
          </w:p>
        </w:tc>
        <w:tc>
          <w:tcPr>
            <w:tcW w:type="dxa" w:w="5814"/>
          </w:tcPr>
          <w:p>
            <w:r>
              <w:rPr/>
              <w:t>2、本项目投标报价应包括：提供服务的服务费及完成服务所须的需服务外包人员工资、社保、人身意外伤害保险、残疾人就业保障金、福利、税金、劳动合同到期经济补偿金、税费等费用。</w:t>
            </w:r>
          </w:p>
        </w:tc>
      </w:tr>
      <w:tr>
        <w:tc>
          <w:tcPr>
            <w:tcW w:type="dxa" w:w="2076"/>
          </w:tcPr>
          <w:p/>
        </w:tc>
        <w:tc>
          <w:tcPr>
            <w:tcW w:type="dxa" w:w="415"/>
          </w:tcPr>
          <w:p>
            <w:r>
              <w:rPr/>
              <w:t>35</w:t>
            </w:r>
          </w:p>
        </w:tc>
        <w:tc>
          <w:tcPr>
            <w:tcW w:type="dxa" w:w="5814"/>
          </w:tcPr>
          <w:p>
            <w:r>
              <w:rPr/>
              <w:t>附件：考核标准（采购人可根据实际工作要求进行调整）</w:t>
            </w:r>
          </w:p>
          <w:tbl>
            <w:tblPr>
              <w:tblBorders>
                <w:top w:val="none" w:color="000000" w:sz="4"/>
                <w:left w:val="none" w:color="000000" w:sz="4"/>
                <w:bottom w:val="none" w:color="000000" w:sz="4"/>
                <w:right w:val="none" w:color="000000" w:sz="4"/>
                <w:insideH w:val="none"/>
                <w:insideV w:val="none"/>
              </w:tblBorders>
            </w:tblPr>
            <w:tblGrid>
              <w:gridCol w:w="879"/>
              <w:gridCol w:w="1053"/>
              <w:gridCol w:w="3666"/>
            </w:tblGrid>
            <w:tr>
              <w:tc>
                <w:tcPr>
                  <w:tcW w:type="dxa" w:w="879"/>
                  <w:tcBorders>
                    <w:top w:val="single" w:color="000000" w:sz="4"/>
                    <w:left w:val="single" w:color="000000" w:sz="4"/>
                    <w:bottom w:val="single" w:color="000000" w:sz="4"/>
                    <w:right w:val="single" w:color="000000" w:sz="4"/>
                  </w:tcBorders>
                  <w:vAlign w:val="top"/>
                </w:tcPr>
                <w:p>
                  <w:pPr>
                    <w:jc w:val="center"/>
                  </w:pPr>
                  <w:r>
                    <w:rPr>
                      <w:b/>
                      <w:sz w:val="21"/>
                    </w:rPr>
                    <w:t>考核项目</w:t>
                  </w:r>
                </w:p>
                <w:p>
                  <w:pPr>
                    <w:jc w:val="center"/>
                  </w:pPr>
                  <w:r>
                    <w:rPr>
                      <w:b/>
                      <w:sz w:val="21"/>
                    </w:rPr>
                    <w:t>（</w:t>
                  </w:r>
                  <w:r>
                    <w:rPr>
                      <w:b/>
                      <w:sz w:val="19"/>
                    </w:rPr>
                    <w:t xml:space="preserve"> </w:t>
                  </w:r>
                  <w:r>
                    <w:rPr>
                      <w:b/>
                      <w:sz w:val="21"/>
                    </w:rPr>
                    <w:t>100</w:t>
                  </w:r>
                  <w:r>
                    <w:rPr>
                      <w:b/>
                      <w:sz w:val="21"/>
                    </w:rPr>
                    <w:t>分</w:t>
                  </w:r>
                  <w:r>
                    <w:rPr>
                      <w:b/>
                      <w:sz w:val="21"/>
                    </w:rPr>
                    <w:t>）</w:t>
                  </w:r>
                </w:p>
              </w:tc>
              <w:tc>
                <w:tcPr>
                  <w:tcW w:type="dxa" w:w="1053"/>
                  <w:tcBorders>
                    <w:top w:val="single" w:color="000000" w:sz="4"/>
                    <w:left w:val="single" w:color="000000" w:sz="4"/>
                    <w:bottom w:val="single" w:color="000000" w:sz="4"/>
                    <w:right w:val="single" w:color="000000" w:sz="4"/>
                  </w:tcBorders>
                  <w:vAlign w:val="top"/>
                </w:tcPr>
                <w:p>
                  <w:pPr>
                    <w:jc w:val="center"/>
                  </w:pPr>
                  <w:r>
                    <w:rPr>
                      <w:b/>
                      <w:sz w:val="21"/>
                    </w:rPr>
                    <w:t>考核指标</w:t>
                  </w:r>
                </w:p>
              </w:tc>
              <w:tc>
                <w:tcPr>
                  <w:tcW w:type="dxa" w:w="3666"/>
                  <w:tcBorders>
                    <w:top w:val="single" w:color="000000" w:sz="4"/>
                    <w:left w:val="single" w:color="000000" w:sz="4"/>
                    <w:bottom w:val="single" w:color="000000" w:sz="4"/>
                    <w:right w:val="single" w:color="000000" w:sz="4"/>
                  </w:tcBorders>
                  <w:vAlign w:val="top"/>
                </w:tcPr>
                <w:p>
                  <w:pPr>
                    <w:jc w:val="center"/>
                  </w:pPr>
                  <w:r>
                    <w:rPr>
                      <w:b/>
                      <w:sz w:val="21"/>
                    </w:rPr>
                    <w:t>考核说明</w:t>
                  </w:r>
                </w:p>
              </w:tc>
            </w:tr>
            <w:tr>
              <w:tc>
                <w:tcPr>
                  <w:tcW w:type="dxa" w:w="879"/>
                  <w:tcBorders>
                    <w:top w:val="none" w:color="000000" w:sz="4"/>
                    <w:left w:val="single" w:color="000000" w:sz="4"/>
                    <w:bottom w:val="single" w:color="000000" w:sz="4"/>
                    <w:right w:val="single" w:color="000000" w:sz="4"/>
                  </w:tcBorders>
                  <w:vAlign w:val="top"/>
                </w:tcPr>
                <w:p/>
                <w:p/>
                <w:p>
                  <w:r>
                    <w:rPr>
                      <w:sz w:val="21"/>
                    </w:rPr>
                    <w:t>日常管理</w:t>
                  </w:r>
                </w:p>
                <w:p>
                  <w:r>
                    <w:rPr>
                      <w:sz w:val="21"/>
                    </w:rPr>
                    <w:t>（</w:t>
                  </w:r>
                  <w:r>
                    <w:rPr>
                      <w:sz w:val="21"/>
                    </w:rPr>
                    <w:t>20分）</w:t>
                  </w:r>
                </w:p>
              </w:tc>
              <w:tc>
                <w:tcPr>
                  <w:tcW w:type="dxa" w:w="1053"/>
                  <w:tcBorders>
                    <w:top w:val="none" w:color="000000" w:sz="4"/>
                    <w:left w:val="single" w:color="000000" w:sz="4"/>
                    <w:bottom w:val="single" w:color="000000" w:sz="4"/>
                    <w:right w:val="single" w:color="000000" w:sz="4"/>
                  </w:tcBorders>
                  <w:vAlign w:val="top"/>
                </w:tcPr>
                <w:p/>
                <w:p/>
                <w:p>
                  <w:r>
                    <w:rPr>
                      <w:sz w:val="21"/>
                    </w:rPr>
                    <w:t>管理质量</w:t>
                  </w:r>
                </w:p>
                <w:p>
                  <w:r>
                    <w:rPr>
                      <w:sz w:val="21"/>
                    </w:rPr>
                    <w:t>（</w:t>
                  </w:r>
                  <w:r>
                    <w:rPr>
                      <w:sz w:val="21"/>
                    </w:rPr>
                    <w:t>20分）</w:t>
                  </w:r>
                </w:p>
              </w:tc>
              <w:tc>
                <w:tcPr>
                  <w:tcW w:type="dxa" w:w="3666"/>
                  <w:tcBorders>
                    <w:top w:val="none" w:color="000000" w:sz="4"/>
                    <w:left w:val="single" w:color="000000" w:sz="4"/>
                    <w:bottom w:val="single" w:color="000000" w:sz="4"/>
                    <w:right w:val="single" w:color="000000" w:sz="4"/>
                  </w:tcBorders>
                  <w:vAlign w:val="top"/>
                </w:tcPr>
                <w:p>
                  <w:pPr>
                    <w:jc w:val="both"/>
                  </w:pPr>
                  <w:r>
                    <w:rPr>
                      <w:sz w:val="21"/>
                    </w:rPr>
                    <w:t>由成交供应商对派驻采购人的工作人员进行考核（考核内容包括</w:t>
                  </w:r>
                  <w:r>
                    <w:rPr>
                      <w:sz w:val="21"/>
                    </w:rPr>
                    <w:t>但不限于人员素质要求、人员稳定性、劳动合同签订、离职、解除劳动关系手续的办理、劳动争议处理、工伤处理等），采购人</w:t>
                  </w:r>
                </w:p>
                <w:p>
                  <w:r>
                    <w:rPr>
                      <w:sz w:val="21"/>
                    </w:rPr>
                    <w:t>根据考核结果进行评分，如每处考核不达标扣</w:t>
                  </w:r>
                  <w:r>
                    <w:rPr>
                      <w:sz w:val="21"/>
                    </w:rPr>
                    <w:t>3分，扣完为止。</w:t>
                  </w:r>
                </w:p>
              </w:tc>
            </w:tr>
            <w:tr>
              <w:tc>
                <w:tcPr>
                  <w:tcW w:type="dxa" w:w="879"/>
                  <w:vMerge w:val="restart"/>
                  <w:tcBorders>
                    <w:top w:val="none" w:color="000000" w:sz="4"/>
                    <w:left w:val="single" w:color="000000" w:sz="4"/>
                    <w:bottom w:val="single" w:color="000000" w:sz="4"/>
                    <w:right w:val="single" w:color="000000" w:sz="4"/>
                  </w:tcBorders>
                  <w:vAlign w:val="top"/>
                </w:tcPr>
                <w:p/>
                <w:p/>
                <w:p/>
                <w:p/>
                <w:p/>
                <w:p/>
                <w:p/>
                <w:p/>
                <w:p>
                  <w:pPr>
                    <w:jc w:val="center"/>
                  </w:pPr>
                  <w:r>
                    <w:rPr>
                      <w:sz w:val="21"/>
                    </w:rPr>
                    <w:t>运营服务质量</w:t>
                  </w:r>
                </w:p>
                <w:p>
                  <w:pPr>
                    <w:jc w:val="center"/>
                  </w:pPr>
                  <w:r>
                    <w:rPr>
                      <w:sz w:val="21"/>
                    </w:rPr>
                    <w:t>（</w:t>
                  </w:r>
                  <w:r>
                    <w:rPr>
                      <w:sz w:val="21"/>
                    </w:rPr>
                    <w:t>30分）</w:t>
                  </w:r>
                </w:p>
              </w:tc>
              <w:tc>
                <w:tcPr>
                  <w:tcW w:type="dxa" w:w="1053"/>
                  <w:vMerge w:val="restart"/>
                  <w:tcBorders>
                    <w:top w:val="none" w:color="000000" w:sz="4"/>
                    <w:left w:val="single" w:color="000000" w:sz="4"/>
                    <w:bottom w:val="single" w:color="000000" w:sz="4"/>
                    <w:right w:val="single" w:color="000000" w:sz="4"/>
                  </w:tcBorders>
                  <w:vAlign w:val="top"/>
                </w:tcPr>
                <w:p/>
                <w:p>
                  <w:pPr>
                    <w:jc w:val="center"/>
                  </w:pPr>
                  <w:r>
                    <w:rPr>
                      <w:sz w:val="21"/>
                    </w:rPr>
                    <w:t>例行型服务质量</w:t>
                  </w:r>
                </w:p>
                <w:p>
                  <w:pPr>
                    <w:jc w:val="center"/>
                  </w:pPr>
                  <w:r>
                    <w:rPr>
                      <w:sz w:val="21"/>
                    </w:rPr>
                    <w:t>（</w:t>
                  </w:r>
                  <w:r>
                    <w:rPr>
                      <w:sz w:val="21"/>
                    </w:rPr>
                    <w:t>10分）</w:t>
                  </w:r>
                </w:p>
              </w:tc>
              <w:tc>
                <w:tcPr>
                  <w:tcW w:type="dxa" w:w="3666"/>
                  <w:tcBorders>
                    <w:top w:val="none" w:color="000000" w:sz="4"/>
                    <w:left w:val="single" w:color="000000" w:sz="4"/>
                    <w:bottom w:val="single" w:color="000000" w:sz="4"/>
                    <w:right w:val="single" w:color="000000" w:sz="4"/>
                  </w:tcBorders>
                  <w:vAlign w:val="top"/>
                </w:tcPr>
                <w:p>
                  <w:r>
                    <w:rPr>
                      <w:sz w:val="21"/>
                    </w:rPr>
                    <w:t>1</w:t>
                  </w:r>
                  <w:r>
                    <w:rPr>
                      <w:sz w:val="21"/>
                    </w:rPr>
                    <w:t>.</w:t>
                  </w:r>
                  <w:r>
                    <w:rPr>
                      <w:sz w:val="21"/>
                    </w:rPr>
                    <w:t>是否及时完成日报、月报等例行性报告工作。</w:t>
                  </w:r>
                </w:p>
              </w:tc>
            </w:tr>
            <w:tr>
              <w:tc>
                <w:tcPr>
                  <w:tcW w:type="dxa" w:w="879"/>
                  <w:vMerge/>
                  <w:tcBorders>
                    <w:top w:val="none" w:color="000000" w:sz="4"/>
                    <w:left w:val="single" w:color="000000" w:sz="4"/>
                    <w:bottom w:val="single" w:color="000000" w:sz="4"/>
                    <w:right w:val="single" w:color="000000" w:sz="4"/>
                  </w:tcBorders>
                </w:tcPr>
                <w:p/>
              </w:tc>
              <w:tc>
                <w:tcPr>
                  <w:tcW w:type="dxa" w:w="1053"/>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vAlign w:val="top"/>
                </w:tcPr>
                <w:p>
                  <w:pPr>
                    <w:jc w:val="left"/>
                  </w:pPr>
                  <w:r>
                    <w:rPr>
                      <w:sz w:val="21"/>
                    </w:rPr>
                    <w:t>2.日报、月报等是否及时按用户确认的模板编写，内容是否完整、真实、准确、具体。</w:t>
                  </w:r>
                </w:p>
              </w:tc>
            </w:tr>
            <w:tr>
              <w:tc>
                <w:tcPr>
                  <w:tcW w:type="dxa" w:w="879"/>
                  <w:vMerge/>
                  <w:tcBorders>
                    <w:top w:val="none" w:color="000000" w:sz="4"/>
                    <w:left w:val="single" w:color="000000" w:sz="4"/>
                    <w:bottom w:val="single" w:color="000000" w:sz="4"/>
                    <w:right w:val="single" w:color="000000" w:sz="4"/>
                  </w:tcBorders>
                </w:tcPr>
                <w:p/>
              </w:tc>
              <w:tc>
                <w:tcPr>
                  <w:tcW w:type="dxa" w:w="1053"/>
                  <w:vMerge w:val="restart"/>
                  <w:tcBorders>
                    <w:top w:val="none" w:color="000000" w:sz="4"/>
                    <w:left w:val="single" w:color="000000" w:sz="4"/>
                    <w:bottom w:val="single" w:color="000000" w:sz="4"/>
                    <w:right w:val="single" w:color="000000" w:sz="4"/>
                  </w:tcBorders>
                  <w:vAlign w:val="top"/>
                </w:tcPr>
                <w:p>
                  <w:pPr>
                    <w:jc w:val="left"/>
                  </w:pPr>
                </w:p>
                <w:p>
                  <w:pPr>
                    <w:jc w:val="left"/>
                  </w:pPr>
                </w:p>
                <w:p>
                  <w:pPr>
                    <w:jc w:val="left"/>
                  </w:pPr>
                </w:p>
                <w:p>
                  <w:pPr>
                    <w:jc w:val="left"/>
                  </w:pPr>
                </w:p>
                <w:p>
                  <w:pPr>
                    <w:jc w:val="left"/>
                  </w:pPr>
                </w:p>
                <w:p>
                  <w:pPr>
                    <w:jc w:val="left"/>
                  </w:pPr>
                  <w:r>
                    <w:rPr>
                      <w:sz w:val="21"/>
                    </w:rPr>
                    <w:t>综合服务质量</w:t>
                  </w:r>
                </w:p>
                <w:p>
                  <w:pPr>
                    <w:jc w:val="left"/>
                  </w:pPr>
                  <w:r>
                    <w:rPr>
                      <w:sz w:val="21"/>
                    </w:rPr>
                    <w:t>（</w:t>
                  </w:r>
                  <w:r>
                    <w:rPr>
                      <w:sz w:val="21"/>
                    </w:rPr>
                    <w:t>20分）</w:t>
                  </w:r>
                </w:p>
              </w:tc>
              <w:tc>
                <w:tcPr>
                  <w:tcW w:type="dxa" w:w="3666"/>
                  <w:tcBorders>
                    <w:top w:val="none" w:color="000000" w:sz="4"/>
                    <w:left w:val="single" w:color="000000" w:sz="4"/>
                    <w:bottom w:val="single" w:color="000000" w:sz="4"/>
                    <w:right w:val="single" w:color="000000" w:sz="4"/>
                  </w:tcBorders>
                  <w:vAlign w:val="top"/>
                </w:tcPr>
                <w:p>
                  <w:pPr>
                    <w:jc w:val="left"/>
                  </w:pPr>
                  <w:r>
                    <w:rPr>
                      <w:sz w:val="21"/>
                    </w:rPr>
                    <w:t>1.对服务对象的咨询、指导等是否清晰，是否履行一次性告知制度。</w:t>
                  </w:r>
                </w:p>
              </w:tc>
            </w:tr>
            <w:tr>
              <w:tc>
                <w:tcPr>
                  <w:tcW w:type="dxa" w:w="879"/>
                  <w:vMerge/>
                  <w:tcBorders>
                    <w:top w:val="none" w:color="000000" w:sz="4"/>
                    <w:left w:val="single" w:color="000000" w:sz="4"/>
                    <w:bottom w:val="single" w:color="000000" w:sz="4"/>
                    <w:right w:val="single" w:color="000000" w:sz="4"/>
                  </w:tcBorders>
                </w:tcPr>
                <w:p/>
              </w:tc>
              <w:tc>
                <w:tcPr>
                  <w:tcW w:type="dxa" w:w="1053"/>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vAlign w:val="top"/>
                </w:tcPr>
                <w:p>
                  <w:pPr>
                    <w:jc w:val="left"/>
                  </w:pPr>
                  <w:r>
                    <w:rPr>
                      <w:sz w:val="21"/>
                    </w:rPr>
                    <w:t>2.是否存在消极怠工、故意不叫号、不作为、慢作为等行为。</w:t>
                  </w:r>
                </w:p>
              </w:tc>
            </w:tr>
            <w:tr>
              <w:tc>
                <w:tcPr>
                  <w:tcW w:type="dxa" w:w="879"/>
                  <w:vMerge/>
                  <w:tcBorders>
                    <w:top w:val="none" w:color="000000" w:sz="4"/>
                    <w:left w:val="single" w:color="000000" w:sz="4"/>
                    <w:bottom w:val="single" w:color="000000" w:sz="4"/>
                    <w:right w:val="single" w:color="000000" w:sz="4"/>
                  </w:tcBorders>
                </w:tcPr>
                <w:p/>
              </w:tc>
              <w:tc>
                <w:tcPr>
                  <w:tcW w:type="dxa" w:w="1053"/>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vAlign w:val="top"/>
                </w:tcPr>
                <w:p>
                  <w:pPr>
                    <w:jc w:val="left"/>
                  </w:pPr>
                  <w:r>
                    <w:rPr>
                      <w:sz w:val="21"/>
                    </w:rPr>
                    <w:t>3.受理资料录入、办理结果登记、与电子证照信息核对等是否及时、准确。</w:t>
                  </w:r>
                </w:p>
              </w:tc>
            </w:tr>
            <w:tr>
              <w:tc>
                <w:tcPr>
                  <w:tcW w:type="dxa" w:w="879"/>
                  <w:vMerge/>
                  <w:tcBorders>
                    <w:top w:val="none" w:color="000000" w:sz="4"/>
                    <w:left w:val="single" w:color="000000" w:sz="4"/>
                    <w:bottom w:val="single" w:color="000000" w:sz="4"/>
                    <w:right w:val="single" w:color="000000" w:sz="4"/>
                  </w:tcBorders>
                </w:tcPr>
                <w:p/>
              </w:tc>
              <w:tc>
                <w:tcPr>
                  <w:tcW w:type="dxa" w:w="1053"/>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vAlign w:val="top"/>
                </w:tcPr>
                <w:p>
                  <w:pPr>
                    <w:jc w:val="left"/>
                  </w:pPr>
                  <w:r>
                    <w:rPr>
                      <w:sz w:val="21"/>
                    </w:rPr>
                    <w:t>4.办理材料是否及时移交审批部门，办事结果是否及时告知申请人。</w:t>
                  </w:r>
                </w:p>
              </w:tc>
            </w:tr>
            <w:tr>
              <w:tc>
                <w:tcPr>
                  <w:tcW w:type="dxa" w:w="879"/>
                  <w:vMerge w:val="restart"/>
                  <w:tcBorders>
                    <w:top w:val="none" w:color="000000" w:sz="4"/>
                    <w:left w:val="single" w:color="000000" w:sz="4"/>
                    <w:bottom w:val="single" w:color="000000" w:sz="4"/>
                    <w:right w:val="single" w:color="000000" w:sz="4"/>
                  </w:tcBorders>
                  <w:vAlign w:val="top"/>
                </w:tcPr>
                <w:p/>
                <w:p/>
                <w:p>
                  <w:r>
                    <w:rPr>
                      <w:sz w:val="21"/>
                    </w:rPr>
                    <w:t>服务质量</w:t>
                  </w:r>
                </w:p>
                <w:p>
                  <w:r>
                    <w:rPr>
                      <w:sz w:val="21"/>
                    </w:rPr>
                    <w:t>（</w:t>
                  </w:r>
                  <w:r>
                    <w:rPr>
                      <w:sz w:val="21"/>
                    </w:rPr>
                    <w:t>20分）</w:t>
                  </w:r>
                </w:p>
              </w:tc>
              <w:tc>
                <w:tcPr>
                  <w:tcW w:type="dxa" w:w="1053"/>
                  <w:tcBorders>
                    <w:top w:val="none" w:color="000000" w:sz="4"/>
                    <w:left w:val="single" w:color="000000" w:sz="4"/>
                    <w:bottom w:val="single" w:color="000000" w:sz="4"/>
                    <w:right w:val="single" w:color="000000" w:sz="4"/>
                  </w:tcBorders>
                  <w:vAlign w:val="top"/>
                </w:tcPr>
                <w:p>
                  <w:pPr>
                    <w:jc w:val="center"/>
                  </w:pPr>
                  <w:r>
                    <w:rPr>
                      <w:sz w:val="21"/>
                    </w:rPr>
                    <w:t>群众投拆（</w:t>
                  </w:r>
                  <w:r>
                    <w:rPr>
                      <w:sz w:val="21"/>
                    </w:rPr>
                    <w:t>10分）</w:t>
                  </w:r>
                </w:p>
              </w:tc>
              <w:tc>
                <w:tcPr>
                  <w:tcW w:type="dxa" w:w="3666"/>
                  <w:tcBorders>
                    <w:top w:val="none" w:color="000000" w:sz="4"/>
                    <w:left w:val="single" w:color="000000" w:sz="4"/>
                    <w:bottom w:val="single" w:color="000000" w:sz="4"/>
                    <w:right w:val="single" w:color="000000" w:sz="4"/>
                  </w:tcBorders>
                  <w:vAlign w:val="top"/>
                </w:tcPr>
                <w:p>
                  <w:r>
                    <w:rPr>
                      <w:sz w:val="21"/>
                    </w:rPr>
                    <w:t>发生相关有效投诉（包括但不限于现场投诉、电话投诉、</w:t>
                  </w:r>
                  <w:r>
                    <w:rPr>
                      <w:sz w:val="21"/>
                    </w:rPr>
                    <w:t>12345投诉），每投诉一单扣1分。</w:t>
                  </w:r>
                </w:p>
              </w:tc>
            </w:tr>
            <w:tr>
              <w:tc>
                <w:tcPr>
                  <w:tcW w:type="dxa" w:w="879"/>
                  <w:vMerge/>
                  <w:tcBorders>
                    <w:top w:val="none" w:color="000000" w:sz="4"/>
                    <w:left w:val="single" w:color="000000" w:sz="4"/>
                    <w:bottom w:val="single" w:color="000000" w:sz="4"/>
                    <w:right w:val="single" w:color="000000" w:sz="4"/>
                  </w:tcBorders>
                </w:tcPr>
                <w:p/>
              </w:tc>
              <w:tc>
                <w:tcPr>
                  <w:tcW w:type="dxa" w:w="1053"/>
                  <w:tcBorders>
                    <w:top w:val="none" w:color="000000" w:sz="4"/>
                    <w:left w:val="single" w:color="000000" w:sz="4"/>
                    <w:bottom w:val="single" w:color="000000" w:sz="4"/>
                    <w:right w:val="single" w:color="000000" w:sz="4"/>
                  </w:tcBorders>
                  <w:vAlign w:val="top"/>
                </w:tcPr>
                <w:p>
                  <w:pPr>
                    <w:jc w:val="left"/>
                  </w:pPr>
                  <w:r>
                    <w:rPr>
                      <w:sz w:val="21"/>
                    </w:rPr>
                    <w:t>服务满意情况</w:t>
                  </w:r>
                </w:p>
                <w:p>
                  <w:pPr>
                    <w:jc w:val="left"/>
                  </w:pPr>
                  <w:r>
                    <w:rPr>
                      <w:sz w:val="21"/>
                    </w:rPr>
                    <w:t>（</w:t>
                  </w:r>
                  <w:r>
                    <w:rPr>
                      <w:sz w:val="21"/>
                    </w:rPr>
                    <w:t>10分）</w:t>
                  </w:r>
                </w:p>
              </w:tc>
              <w:tc>
                <w:tcPr>
                  <w:tcW w:type="dxa" w:w="3666"/>
                  <w:tcBorders>
                    <w:top w:val="none" w:color="000000" w:sz="4"/>
                    <w:left w:val="single" w:color="000000" w:sz="4"/>
                    <w:bottom w:val="single" w:color="000000" w:sz="4"/>
                    <w:right w:val="single" w:color="000000" w:sz="4"/>
                  </w:tcBorders>
                  <w:vAlign w:val="top"/>
                </w:tcPr>
                <w:p>
                  <w:pPr>
                    <w:jc w:val="left"/>
                  </w:pPr>
                  <w:r>
                    <w:rPr>
                      <w:sz w:val="21"/>
                    </w:rPr>
                    <w:t>每</w:t>
                  </w:r>
                  <w:r>
                    <w:rPr>
                      <w:sz w:val="21"/>
                      <w:u w:val="single"/>
                    </w:rPr>
                    <w:t>月</w:t>
                  </w:r>
                  <w:r>
                    <w:rPr>
                      <w:sz w:val="21"/>
                    </w:rPr>
                    <w:t>度将开展满意度调查问卷填报。</w:t>
                  </w:r>
                </w:p>
                <w:p>
                  <w:pPr>
                    <w:jc w:val="left"/>
                  </w:pPr>
                  <w:r>
                    <w:rPr>
                      <w:sz w:val="21"/>
                    </w:rPr>
                    <w:t>满意度考核</w:t>
                  </w:r>
                  <w:r>
                    <w:rPr>
                      <w:sz w:val="21"/>
                    </w:rPr>
                    <w:t>≧96%，每低1个百分点扣1分。</w:t>
                  </w:r>
                </w:p>
              </w:tc>
            </w:tr>
            <w:tr>
              <w:tc>
                <w:tcPr>
                  <w:tcW w:type="dxa" w:w="879"/>
                  <w:tcBorders>
                    <w:top w:val="none" w:color="000000" w:sz="4"/>
                    <w:left w:val="single" w:color="000000" w:sz="4"/>
                    <w:bottom w:val="single" w:color="000000" w:sz="4"/>
                    <w:right w:val="single" w:color="000000" w:sz="4"/>
                  </w:tcBorders>
                  <w:vAlign w:val="top"/>
                </w:tcPr>
                <w:p>
                  <w:pPr>
                    <w:jc w:val="center"/>
                  </w:pPr>
                  <w:r>
                    <w:rPr>
                      <w:sz w:val="21"/>
                    </w:rPr>
                    <w:t>项目服务指标</w:t>
                  </w:r>
                </w:p>
                <w:p>
                  <w:pPr>
                    <w:jc w:val="center"/>
                  </w:pPr>
                  <w:r>
                    <w:rPr>
                      <w:sz w:val="21"/>
                    </w:rPr>
                    <w:t>（</w:t>
                  </w:r>
                  <w:r>
                    <w:rPr>
                      <w:sz w:val="21"/>
                    </w:rPr>
                    <w:t>30分）</w:t>
                  </w:r>
                </w:p>
              </w:tc>
              <w:tc>
                <w:tcPr>
                  <w:tcW w:type="dxa" w:w="1053"/>
                  <w:tcBorders>
                    <w:top w:val="none" w:color="000000" w:sz="4"/>
                    <w:left w:val="single" w:color="000000" w:sz="4"/>
                    <w:bottom w:val="single" w:color="000000" w:sz="4"/>
                    <w:right w:val="single" w:color="000000" w:sz="4"/>
                  </w:tcBorders>
                  <w:vAlign w:val="top"/>
                </w:tcPr>
                <w:p>
                  <w:pPr>
                    <w:jc w:val="center"/>
                  </w:pPr>
                  <w:r>
                    <w:rPr>
                      <w:sz w:val="21"/>
                    </w:rPr>
                    <w:t>服务指标完成率</w:t>
                  </w:r>
                </w:p>
                <w:p>
                  <w:pPr>
                    <w:jc w:val="center"/>
                  </w:pPr>
                  <w:r>
                    <w:rPr>
                      <w:sz w:val="21"/>
                    </w:rPr>
                    <w:t>（</w:t>
                  </w:r>
                  <w:r>
                    <w:rPr>
                      <w:sz w:val="21"/>
                    </w:rPr>
                    <w:t>30分）</w:t>
                  </w:r>
                </w:p>
              </w:tc>
              <w:tc>
                <w:tcPr>
                  <w:tcW w:type="dxa" w:w="3666"/>
                  <w:tcBorders>
                    <w:top w:val="none" w:color="000000" w:sz="4"/>
                    <w:left w:val="single" w:color="000000" w:sz="4"/>
                    <w:bottom w:val="single" w:color="000000" w:sz="4"/>
                    <w:right w:val="single" w:color="000000" w:sz="4"/>
                  </w:tcBorders>
                  <w:vAlign w:val="top"/>
                </w:tcPr>
                <w:p>
                  <w:r>
                    <w:rPr>
                      <w:sz w:val="21"/>
                      <w:u w:val="single"/>
                    </w:rPr>
                    <w:t>月</w:t>
                  </w:r>
                  <w:r>
                    <w:rPr>
                      <w:sz w:val="21"/>
                    </w:rPr>
                    <w:t>度按实际工作量考核，全年服务指标考核完成率</w:t>
                  </w:r>
                  <w:r>
                    <w:rPr>
                      <w:sz w:val="21"/>
                    </w:rPr>
                    <w:t>≧98%。</w:t>
                  </w:r>
                </w:p>
              </w:tc>
            </w:tr>
          </w:tbl>
          <w:p>
            <w:pPr>
              <w:jc w:val="both"/>
            </w:pPr>
            <w:r>
              <w:rPr>
                <w:sz w:val="21"/>
              </w:rPr>
              <w:t>注</w:t>
            </w:r>
            <w:r>
              <w:rPr>
                <w:sz w:val="21"/>
              </w:rPr>
              <w:t>:</w:t>
            </w:r>
            <w:r>
              <w:rPr>
                <w:sz w:val="21"/>
              </w:rPr>
              <w:t>具体考核标准以合同最终签订版本为准。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1.采购代理机构：本项目是指国义招标股份有限公司 ，负责整个采购活动的组织，依法负责编制和发布磋商文件，对磋商文件拥有最终的解释权，不以任何身份出任磋商小组成员。</w:t>
      </w:r>
    </w:p>
    <w:p>
      <w:pPr>
        <w:ind w:firstLine="480"/>
      </w:pPr>
      <w:r>
        <w:rPr/>
        <w:t>2.采购人：本项目是指</w:t>
      </w:r>
      <w:r>
        <w:rPr/>
        <w:t>中山市石岐街道工业信息和科技商务局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采购机构代理服务收费标准：参照国家计委[计价格[2002]1980号]文及国家发改委[2011]534号文服务类招标代理服务收费标准差额定率累进法计算下浮10%收取。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关于中小微企业开展政府采购质押融资业务的相关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 政府采购质押融资业务的银行机构联系人名单 序号 银行机构 经办部门 联系人 联系方式 1)中国农业发展银行中山市分行 客户业务部 邹可仕 18802598981 信贷与风险管理部 陈小龙 15889891688 2)中国工商银行中山分行 普惠金融事业部 陈炳菁 18928108782 普惠金融事业部 杨培鹏 15900085352 3)中国农业银行中山分行 普惠金融事业部 赖思韵22644682 4)广发银行中山分行 普惠金融部 林光宇 88862643 5)中国邮政储蓄银行中山市分行 小企业金融部 黄嘉霖 13824720741 6)中山农村商业银行 总行公司业务部 杜保森 88884181 7)平安银行中山分行 普惠金融部 林晓冰 13823931817 8)兴业银行中山分行 企业金融部刘中芳 0760-88368666-203172 9)招商银行中山分行 公司金融事业部 唐庆颖 13924998608 10)中国光大银行中山分行 公司业务管理部 张梓颖 0760-88858067 11)广州银行中山分行公司金融部 杨顺龙 88776919 12)中信银行中山分行 普惠金融部 陈廷忠 15113386853 普惠金融部 余超贤 15918291829 13)渤海银行中山分行 公司金融部 李建夏 13631124024、0760-87911816 分行营业部 徐艺 13928142042、0760-87911808 14)华夏银行中山分行 营销管理部 叶怡 28137855 15)东莞银行中山分行业务部 赵荣耀 13042854636/86939959 16)东亚银行（中国）有限公司中山支行 中山支行 王涛 89986282/18926998881 17)浦发银行中山分行 交易银行部 付涛 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；请各供应商在响应文件递交截止时间前按须知前附表规定的金额递交至</w:t>
      </w:r>
      <w:r>
        <w:rPr/>
        <w:t>国义招标股份有限公司</w:t>
      </w:r>
      <w:r>
        <w:rPr/>
        <w:t>，到账情况以开启时</w:t>
      </w:r>
      <w:r>
        <w:rPr/>
        <w:t>国义招标股份有限公司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中山市政府采购网（http://120.234.108.5:8088/zfcg/），中山市公共资源交易网（https://ggzyjy.zs.gov.cn/），国义招标股份有限公司（https://www.gmgitc.com）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中山市政府采购网（http://120.234.108.5:8088/zfcg/），中山市公共资源交易网（https://ggzyjy.zs.gov.cn/），国义招标股份有限公司（https://www.gmgitc.com）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郭小姐</w:t>
      </w:r>
    </w:p>
    <w:p>
      <w:pPr>
        <w:ind w:firstLine="480"/>
      </w:pPr>
      <w:r>
        <w:rPr/>
        <w:t>电话：</w:t>
      </w:r>
      <w:r>
        <w:rPr/>
        <w:t>020-37860711/37860715/0760-88798817</w:t>
      </w:r>
    </w:p>
    <w:p>
      <w:pPr>
        <w:ind w:firstLine="480"/>
      </w:pPr>
      <w:r>
        <w:rPr/>
        <w:t>传真：</w:t>
      </w:r>
      <w:r>
        <w:rPr/>
        <w:t>020-37860699</w:t>
      </w:r>
    </w:p>
    <w:p>
      <w:pPr>
        <w:ind w:firstLine="480"/>
      </w:pPr>
      <w:r>
        <w:rPr/>
        <w:t>邮箱：</w:t>
      </w:r>
      <w:r>
        <w:rPr/>
        <w:t>guochunxi@ebidding.com</w:t>
      </w:r>
    </w:p>
    <w:p>
      <w:pPr>
        <w:ind w:firstLine="480"/>
      </w:pPr>
      <w:r>
        <w:rPr/>
        <w:t>地址：</w:t>
      </w:r>
      <w:r>
        <w:rPr/>
        <w:t>广州市越秀区东风东路726号9楼监审部/中山市石岐区民盈西路12号自编号为B213卡</w:t>
      </w:r>
    </w:p>
    <w:p>
      <w:pPr>
        <w:ind w:firstLine="480"/>
      </w:pPr>
      <w:r>
        <w:rPr/>
        <w:t>邮编：</w:t>
      </w:r>
      <w:r>
        <w:rPr/>
        <w:t>510080/528400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石岐区税务分局税务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国义招标股份有限公司</w:t>
      </w:r>
      <w:r>
        <w:rPr/>
        <w:t>统一对外发布。</w:t>
      </w:r>
    </w:p>
    <w:p>
      <w:pPr>
        <w:ind w:firstLine="480"/>
      </w:pPr>
      <w:r>
        <w:rPr/>
        <w:t>（2）对</w:t>
      </w:r>
      <w:r>
        <w:rPr/>
        <w:t>国义招标股份有限公司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采购包1（中山市石岐区税务分局税务服务项目）：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采购包1（中山市石岐区税务分局税务服务项目）：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tc>
      </w:tr>
      <w:tr>
        <w:tc>
          <w:tcPr>
            <w:tcW w:type="dxa" w:w="890"/>
          </w:tcPr>
          <w:p>
            <w:r>
              <w:rPr/>
              <w:t>3</w:t>
            </w:r>
          </w:p>
        </w:tc>
        <w:tc>
          <w:tcPr>
            <w:tcW w:type="dxa" w:w="3178"/>
          </w:tcPr>
          <w:p>
            <w:r>
              <w:rPr/>
              <w:t>具有良好的商业信誉和健全的财务会计制度</w:t>
            </w:r>
          </w:p>
        </w:tc>
        <w:tc>
          <w:tcPr>
            <w:tcW w:type="dxa" w:w="4238"/>
          </w:tcPr>
          <w:p>
            <w:r>
              <w:rPr/>
              <w:t>2020年至2022年度内任意一年的年度财务报表(新成立公司提供成立至今的月或季度财务报表复印件)或银行出具的资信证明。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已领购本次采购文件</w:t>
            </w:r>
          </w:p>
        </w:tc>
        <w:tc>
          <w:tcPr>
            <w:tcW w:type="dxa" w:w="4238"/>
          </w:tcPr>
          <w:p>
            <w:r>
              <w:rPr/>
              <w:t>已领购本次采购文件。(具体方式详见本项目公告)</w:t>
            </w:r>
          </w:p>
        </w:tc>
      </w:tr>
      <w:tr>
        <w:tc>
          <w:tcPr>
            <w:tcW w:type="dxa" w:w="890"/>
          </w:tcPr>
          <w:p>
            <w:r>
              <w:rPr/>
              <w:t>9</w:t>
            </w:r>
          </w:p>
        </w:tc>
        <w:tc>
          <w:tcPr>
            <w:tcW w:type="dxa" w:w="3178"/>
          </w:tcPr>
          <w:p>
            <w:r>
              <w:rPr/>
              <w:t>本项目不接受联合体响应</w:t>
            </w:r>
          </w:p>
        </w:tc>
        <w:tc>
          <w:tcPr>
            <w:tcW w:type="dxa" w:w="4238"/>
          </w:tcPr>
          <w:p>
            <w:r>
              <w:rPr/>
              <w:t>本项目不接受联合体响应</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采购包整体专门面向中小企业（提供中小企业声明函）。</w:t>
            </w:r>
          </w:p>
        </w:tc>
      </w:tr>
    </w:tbl>
    <w:p/>
    <w:p>
      <w:pPr>
        <w:ind w:firstLine="480"/>
      </w:pPr>
      <w:r>
        <w:rPr/>
        <w:t>表二符合性审查表：</w:t>
      </w:r>
    </w:p>
    <w:p>
      <w:pPr>
        <w:ind w:firstLine="480"/>
      </w:pPr>
    </w:p>
    <w:p/>
    <w:p>
      <w:r>
        <w:rPr/>
        <w:t>采购包1（中山市石岐区税务分局税务服务项目）：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响应报价</w:t>
            </w:r>
          </w:p>
        </w:tc>
        <w:tc>
          <w:tcPr>
            <w:tcW w:type="dxa" w:w="4238"/>
          </w:tcPr>
          <w:p>
            <w:r>
              <w:rPr/>
              <w:t>1)响应报价未超过本项目所投最高限价 2）对本项目所投的全部采购内容进行响应报价 3）响应报价是唯一确定的。</w:t>
            </w:r>
          </w:p>
        </w:tc>
      </w:tr>
      <w:tr>
        <w:tc>
          <w:tcPr>
            <w:tcW w:type="dxa" w:w="890"/>
          </w:tcPr>
          <w:p>
            <w:r>
              <w:rPr/>
              <w:t>2</w:t>
            </w:r>
          </w:p>
        </w:tc>
        <w:tc>
          <w:tcPr>
            <w:tcW w:type="dxa" w:w="3178"/>
          </w:tcPr>
          <w:p>
            <w:r>
              <w:rPr/>
              <w:t>响应有效期</w:t>
            </w:r>
          </w:p>
        </w:tc>
        <w:tc>
          <w:tcPr>
            <w:tcW w:type="dxa" w:w="4238"/>
          </w:tcPr>
          <w:p>
            <w:r>
              <w:rPr/>
              <w:t>提供《承诺函》，报价有效期为报价截止日后的90天</w:t>
            </w:r>
          </w:p>
        </w:tc>
      </w:tr>
      <w:tr>
        <w:tc>
          <w:tcPr>
            <w:tcW w:type="dxa" w:w="890"/>
          </w:tcPr>
          <w:p>
            <w:r>
              <w:rPr/>
              <w:t>3</w:t>
            </w:r>
          </w:p>
        </w:tc>
        <w:tc>
          <w:tcPr>
            <w:tcW w:type="dxa" w:w="3178"/>
          </w:tcPr>
          <w:p>
            <w:r>
              <w:rPr/>
              <w:t>法定代表人证明书及授权委托书</w:t>
            </w:r>
          </w:p>
        </w:tc>
        <w:tc>
          <w:tcPr>
            <w:tcW w:type="dxa" w:w="4238"/>
          </w:tcPr>
          <w:p>
            <w:r>
              <w:rPr/>
              <w:t>按对应格式文件签署、盖章(原件)</w:t>
            </w:r>
          </w:p>
        </w:tc>
      </w:tr>
      <w:tr>
        <w:tc>
          <w:tcPr>
            <w:tcW w:type="dxa" w:w="890"/>
          </w:tcPr>
          <w:p>
            <w:r>
              <w:rPr/>
              <w:t>4</w:t>
            </w:r>
          </w:p>
        </w:tc>
        <w:tc>
          <w:tcPr>
            <w:tcW w:type="dxa" w:w="3178"/>
          </w:tcPr>
          <w:p>
            <w:r>
              <w:rPr/>
              <w:t>签署及盖章</w:t>
            </w:r>
          </w:p>
        </w:tc>
        <w:tc>
          <w:tcPr>
            <w:tcW w:type="dxa" w:w="4238"/>
          </w:tcPr>
          <w:p>
            <w:r>
              <w:rPr/>
              <w:t>响应文件按照采购文件规定要求签署、盖章</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实质性响应</w:t>
            </w:r>
          </w:p>
        </w:tc>
        <w:tc>
          <w:tcPr>
            <w:tcW w:type="dxa" w:w="4238"/>
          </w:tcPr>
          <w:p>
            <w:r>
              <w:rPr/>
              <w:t>实质性响应招标文件中规定的其它情况</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采购包1中山市石岐区税务分局税务服务项目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服务工作目标及管理方案 (10.0分)</w:t>
            </w:r>
            <w:r>
              <w:rPr/>
              <w:t>，（等次分值选择：</w:t>
            </w:r>
            <w:r>
              <w:rPr/>
              <w:t>0.0;</w:t>
            </w:r>
            <w:r>
              <w:rPr/>
              <w:t>1.0;</w:t>
            </w:r>
            <w:r>
              <w:rPr/>
              <w:t>3.0;</w:t>
            </w:r>
            <w:r>
              <w:rPr/>
              <w:t>7.0;</w:t>
            </w:r>
            <w:r>
              <w:rPr/>
              <w:t>10.0;</w:t>
            </w:r>
            <w:r>
              <w:rPr/>
              <w:t>）</w:t>
            </w:r>
          </w:p>
        </w:tc>
        <w:tc>
          <w:tcPr>
            <w:tcW w:type="dxa" w:w="5076"/>
          </w:tcPr>
          <w:p>
            <w:pPr>
              <w:jc w:val="left"/>
            </w:pPr>
            <w:r>
              <w:rPr/>
              <w:t>根据供应商对本项目的服务工作目标及管理方案 (包括不限于执行计划；管理模式；配套措施；工作重点等)进行评审：  1.服务工作目标及管理方案清晰且贴合采购人需求，执行计划、管理模式与配套措施清晰，有针对性，熟悉本项目工作重点，对各项工作理解到位，10分； 2.服务工作目标及管理方案清晰但不太贴合采购人需求，执行计划、管理模式与配套措施部分不清晰，基本了解本项目工作重点和各项工作要求，7分； 3.服务工作目标及管理方案清晰但不贴合采购人需求，执行计划、管理模式与配套措施不清晰，基本了解本项目工作重点和各项工作要求，3分； 4.服务工作目标及管理方案部分不清晰且不贴合采购人需求，执行计划、管理模式与配套措施不清晰，不熟悉本项目工作重点和各项工作要求，1分； 无提供不得分。</w:t>
            </w:r>
          </w:p>
        </w:tc>
      </w:tr>
      <w:tr>
        <w:tc>
          <w:tcPr>
            <w:tcW w:type="dxa" w:w="922"/>
            <w:gridSpan w:val="2"/>
            <w:vMerge/>
          </w:tcPr>
          <w:p/>
        </w:tc>
        <w:tc>
          <w:tcPr>
            <w:tcW w:type="dxa" w:w="2307"/>
          </w:tcPr>
          <w:p>
            <w:pPr>
              <w:jc w:val="left"/>
            </w:pPr>
            <w:r>
              <w:rPr/>
              <w:t>人员调配能力 (10.0分)</w:t>
            </w:r>
            <w:r>
              <w:rPr/>
              <w:t>，（等次分值选择：</w:t>
            </w:r>
            <w:r>
              <w:rPr/>
              <w:t>0.0;</w:t>
            </w:r>
            <w:r>
              <w:rPr/>
              <w:t>1.0;</w:t>
            </w:r>
            <w:r>
              <w:rPr/>
              <w:t>3.0;</w:t>
            </w:r>
            <w:r>
              <w:rPr/>
              <w:t>7.0;</w:t>
            </w:r>
            <w:r>
              <w:rPr/>
              <w:t>10.0;</w:t>
            </w:r>
            <w:r>
              <w:rPr/>
              <w:t>）</w:t>
            </w:r>
          </w:p>
        </w:tc>
        <w:tc>
          <w:tcPr>
            <w:tcW w:type="dxa" w:w="5076"/>
          </w:tcPr>
          <w:p>
            <w:pPr>
              <w:jc w:val="left"/>
            </w:pPr>
            <w:r>
              <w:rPr/>
              <w:t>根据供应商对本项目服务人员调配能力(包括不限于调配库、调配方案及流程等内容)进行评审： 1.具有服务人员调配库，能够在本项目服务人员出现缺岗的情况下，及时响应并安排人员补充到岗，确保工作正常运转，符合本项目实际需求，调配方案及流程清晰，10分；  2.具有服务人员调配库，能够在本项目服务人员出现缺岗的情况下，响应并安排人员补充到岗，基本确保工作正常运转，基本符合本项目实际需求，但调配方案及流程部分不清晰，7分；  3.不完全具备服务人员调配库，在本项目服务人员出现缺岗的情况下，安排人员补充到岗不及时，部分不符合本项目实际需求，无法完全确保工作正常运转，调配方案及流程不清晰，3分；  4.不具备服务人员调配库，在本项目服务人员出现缺岗的情况下，无法安排人员补充到岗，不符合本项目实际需求，无法确保工作正常运转，调配方案及流程完全不清晰，1分；  无提供不得分。</w:t>
            </w:r>
          </w:p>
        </w:tc>
      </w:tr>
      <w:tr>
        <w:tc>
          <w:tcPr>
            <w:tcW w:type="dxa" w:w="922"/>
            <w:gridSpan w:val="2"/>
            <w:vMerge/>
          </w:tcPr>
          <w:p/>
        </w:tc>
        <w:tc>
          <w:tcPr>
            <w:tcW w:type="dxa" w:w="2307"/>
          </w:tcPr>
          <w:p>
            <w:pPr>
              <w:jc w:val="left"/>
            </w:pPr>
            <w:r>
              <w:rPr/>
              <w:t>考勤、定期考核管理、劳动关系争议处理方案 (11.0分)</w:t>
            </w:r>
            <w:r>
              <w:rPr/>
              <w:t>，（等次分值选择：</w:t>
            </w:r>
            <w:r>
              <w:rPr/>
              <w:t>0.0;</w:t>
            </w:r>
            <w:r>
              <w:rPr/>
              <w:t>1.0;</w:t>
            </w:r>
            <w:r>
              <w:rPr/>
              <w:t>3.0;</w:t>
            </w:r>
            <w:r>
              <w:rPr/>
              <w:t>7.0;</w:t>
            </w:r>
            <w:r>
              <w:rPr/>
              <w:t>11.0;</w:t>
            </w:r>
            <w:r>
              <w:rPr/>
              <w:t>）</w:t>
            </w:r>
          </w:p>
        </w:tc>
        <w:tc>
          <w:tcPr>
            <w:tcW w:type="dxa" w:w="5076"/>
          </w:tcPr>
          <w:p>
            <w:pPr>
              <w:jc w:val="left"/>
            </w:pPr>
            <w:r>
              <w:rPr/>
              <w:t>根据供应商对本项目培训、考核方案(包括不限于服务人员的岗前培训、在岗培训、考勤、定期考核管理、劳动关系争议处理流程及措施等内容)进行评审： 1.对本项目的服务人员进行岗前培训、在岗培训、考勤、定期考核管理、劳动关系争议处理流程及措施等内容，符合本项目服务需要，能够针对本项目的具体服务内容和要求，流程清晰详尽，11分；  2.对本项目的服务人员进行岗前培训、在岗培训、考勤、定期考核管理、劳动关系争议处理流程及措施等内容，基本符合本项目服务需要，能够针对本项目的具体服务内容和要求，流程清晰，7分；  3.对本项目的服务人员进行岗前培训、在岗培训、考勤、定期考核管理、劳动关系争议处理流程及措施等内容，基本符合本项目服务需要，未能够针对本项目的具体服务内容和要求，流程基本清晰，3分； 4.对本项目的服务人员进行岗前培训、在岗培训、考勤、定期考核管理、劳动关系争议处理流程及措施等内容，不符合本项目服务需要，未能针对本项目的具体服务内容和要求，流程不清晰，1分；  无提供不得分。</w:t>
            </w:r>
          </w:p>
        </w:tc>
      </w:tr>
      <w:tr>
        <w:tc>
          <w:tcPr>
            <w:tcW w:type="dxa" w:w="922"/>
            <w:gridSpan w:val="2"/>
            <w:vMerge/>
          </w:tcPr>
          <w:p/>
        </w:tc>
        <w:tc>
          <w:tcPr>
            <w:tcW w:type="dxa" w:w="2307"/>
          </w:tcPr>
          <w:p>
            <w:pPr>
              <w:jc w:val="left"/>
            </w:pPr>
            <w:r>
              <w:rPr/>
              <w:t>项目负责人情况 (6.0分)</w:t>
            </w:r>
          </w:p>
        </w:tc>
        <w:tc>
          <w:tcPr>
            <w:tcW w:type="dxa" w:w="5076"/>
          </w:tcPr>
          <w:p>
            <w:pPr>
              <w:jc w:val="left"/>
            </w:pPr>
            <w:r>
              <w:rPr/>
              <w:t>拟投入本项目的项目负责人具有一级劳动关系协调员的，得6分。 2.拟投入本项目的项目负责人具有二级劳动关系协调员的，得3分。 3.无或其它不得分。 本项最高可得6分。 （注：须提供身份证、有效的证书及2022年10月至今任意一个月供应商为其缴纳的社保证明文件复印件并加盖公章。如果供应商成立时间或该人员入职不足1个月，则提供人员入职证明。社保证明文件可提供以供应商名义代缴个税税单或参加社会保险的《投保单》或《社会保险参保人员证明》均可。若供应商未能提供该人员社保的，可以在响应文件中提供相关承诺书原件并加盖公章，格式自拟，承诺书内容包括但不限于以下内容 ：“若我单位成交，合同签订时保证按响应文件中所配备投入本项目的人员全部到位并提供所有人员以我单位缴纳的社保证明，否则视为我单位放弃 成交资格”，视为满足评审要求。）</w:t>
            </w:r>
          </w:p>
        </w:tc>
      </w:tr>
      <w:tr>
        <w:tc>
          <w:tcPr>
            <w:tcW w:type="dxa" w:w="922"/>
            <w:gridSpan w:val="2"/>
            <w:vMerge/>
          </w:tcPr>
          <w:p/>
        </w:tc>
        <w:tc>
          <w:tcPr>
            <w:tcW w:type="dxa" w:w="2307"/>
          </w:tcPr>
          <w:p>
            <w:pPr>
              <w:jc w:val="left"/>
            </w:pPr>
            <w:r>
              <w:rPr/>
              <w:t>数字化管理能力 (7.0分)</w:t>
            </w:r>
          </w:p>
        </w:tc>
        <w:tc>
          <w:tcPr>
            <w:tcW w:type="dxa" w:w="5076"/>
          </w:tcPr>
          <w:p>
            <w:pPr>
              <w:jc w:val="left"/>
            </w:pPr>
            <w:r>
              <w:rPr/>
              <w:t>1、考察应答人的数字化管理能力，具备投入本项目的人力资源管理系统，该系统至少包括入离职及休假流程管理、考勤管理、薪酬查询、电子档案四项功能，并提供每项功能截图的得6分，否则不得分，本项满分6分。 2、在提供四项功能的基础上如额外提供其他人员管理功能截图的，每项加0.5分，本项满分1分。 注：须提供系统功能截图，未提供不得分。</w:t>
            </w:r>
          </w:p>
        </w:tc>
      </w:tr>
      <w:tr>
        <w:tc>
          <w:tcPr>
            <w:tcW w:type="dxa" w:w="922"/>
            <w:gridSpan w:val="2"/>
            <w:vMerge/>
          </w:tcPr>
          <w:p/>
        </w:tc>
        <w:tc>
          <w:tcPr>
            <w:tcW w:type="dxa" w:w="2307"/>
          </w:tcPr>
          <w:p>
            <w:pPr>
              <w:jc w:val="left"/>
            </w:pPr>
            <w:r>
              <w:rPr/>
              <w:t>保密制度和保密措施 (5.0分)</w:t>
            </w:r>
            <w:r>
              <w:rPr/>
              <w:t>，（等次分值选择：</w:t>
            </w:r>
            <w:r>
              <w:rPr/>
              <w:t>0.0;</w:t>
            </w:r>
            <w:r>
              <w:rPr/>
              <w:t>1.0;</w:t>
            </w:r>
            <w:r>
              <w:rPr/>
              <w:t>2.0;</w:t>
            </w:r>
            <w:r>
              <w:rPr/>
              <w:t>4.0;</w:t>
            </w:r>
            <w:r>
              <w:rPr/>
              <w:t>5.0;</w:t>
            </w:r>
            <w:r>
              <w:rPr/>
              <w:t>）</w:t>
            </w:r>
          </w:p>
        </w:tc>
        <w:tc>
          <w:tcPr>
            <w:tcW w:type="dxa" w:w="5076"/>
          </w:tcPr>
          <w:p>
            <w:pPr>
              <w:jc w:val="left"/>
            </w:pPr>
            <w:r>
              <w:rPr/>
              <w:t>评委就各供应商的保密制度和保密措施进行评审： 1.保密制度完善，保密服务工作标准化程度高，有详细的标准化流程，合理有序、逻辑性强且有一系列保密保障措施，内容详细有针对性，得5分； 2.保密制度较为完善，保密服务工作标准化程度较高，有一定的标准化流程，顺序较为清晰，有一定的操作性，满足项目的基本实施需要，保密保障措施描述基本清晰，得4分； 3.保密制度一般，内容较为普通缺乏针对性或有缺失，但该缺失不影响项目具体实施，保障措施内容较为简单，得2分； 4.保密制度缺失或不完整，得1分； 5.无或其他，得0分。</w:t>
            </w:r>
          </w:p>
        </w:tc>
      </w:tr>
      <w:tr>
        <w:tc>
          <w:tcPr>
            <w:tcW w:type="dxa" w:w="922"/>
            <w:gridSpan w:val="2"/>
            <w:vMerge/>
          </w:tcPr>
          <w:p/>
        </w:tc>
        <w:tc>
          <w:tcPr>
            <w:tcW w:type="dxa" w:w="2307"/>
          </w:tcPr>
          <w:p>
            <w:pPr>
              <w:jc w:val="left"/>
            </w:pPr>
            <w:r>
              <w:rPr/>
              <w:t>培训能力 (6.0分)</w:t>
            </w:r>
          </w:p>
        </w:tc>
        <w:tc>
          <w:tcPr>
            <w:tcW w:type="dxa" w:w="5076"/>
          </w:tcPr>
          <w:p>
            <w:pPr>
              <w:jc w:val="left"/>
            </w:pPr>
            <w:r>
              <w:rPr/>
              <w:t>供应商具有合格的培训机构或委托(提供相关合同或协议)合格的培训机构，得6分；没有合格的培训机构或没有委托合格的培训机构的，得0分。 （注：投标供应商自有培训机构的，需提供相关资质证书，投标供应商委托其它培训机构进行培训的，需同时提供委托合同或协议及培训机构相关资质证书，复印件并加盖投标供应商公章，否则不得分。）</w:t>
            </w:r>
          </w:p>
        </w:tc>
      </w:tr>
      <w:tr>
        <w:tc>
          <w:tcPr>
            <w:tcW w:type="dxa" w:w="922"/>
            <w:gridSpan w:val="2"/>
            <w:vMerge w:val="restart"/>
          </w:tcPr>
          <w:p>
            <w:pPr>
              <w:jc w:val="center"/>
            </w:pPr>
            <w:r>
              <w:rPr/>
              <w:t>商务部分</w:t>
            </w:r>
          </w:p>
        </w:tc>
        <w:tc>
          <w:tcPr>
            <w:tcW w:type="dxa" w:w="2307"/>
          </w:tcPr>
          <w:p>
            <w:pPr>
              <w:jc w:val="left"/>
            </w:pPr>
            <w:r>
              <w:rPr/>
              <w:t>项目业绩 (3.0分)</w:t>
            </w:r>
          </w:p>
        </w:tc>
        <w:tc>
          <w:tcPr>
            <w:tcW w:type="dxa" w:w="5076"/>
          </w:tcPr>
          <w:p>
            <w:pPr>
              <w:jc w:val="left"/>
            </w:pPr>
            <w:r>
              <w:rPr/>
              <w:t>根据供应商2020年1月1日至今同类（包括不限于服务外包等）项目经验情况进行评审，每有一个项目业绩得1分，最高得3分。 【注：需提供中标/成交通知书或服务合同(含关键内容部分) 复印件加盖投标供应商公章，不提供不得分。分支机构投标的，总公司业绩不可纳入评审。】</w:t>
            </w:r>
          </w:p>
        </w:tc>
      </w:tr>
      <w:tr>
        <w:tc>
          <w:tcPr>
            <w:tcW w:type="dxa" w:w="922"/>
            <w:gridSpan w:val="2"/>
            <w:vMerge/>
          </w:tcPr>
          <w:p/>
        </w:tc>
        <w:tc>
          <w:tcPr>
            <w:tcW w:type="dxa" w:w="2307"/>
          </w:tcPr>
          <w:p>
            <w:pPr>
              <w:jc w:val="left"/>
            </w:pPr>
            <w:r>
              <w:rPr/>
              <w:t>客户评价 (3.0分)</w:t>
            </w:r>
          </w:p>
        </w:tc>
        <w:tc>
          <w:tcPr>
            <w:tcW w:type="dxa" w:w="5076"/>
          </w:tcPr>
          <w:p>
            <w:pPr>
              <w:jc w:val="left"/>
            </w:pPr>
            <w:r>
              <w:rPr/>
              <w:t>供应商自2020年1月1日至今获得过客户评价： 1.获得优秀、满意等类似评价，每具有一项得1分，本小项最高得3分； 2.获得良好、较满意等类似评价，每具有一项得1分，本小项最高得2分； 3.获得合格、一般等类似评价，每具有一项得0.5分，本小项最高得1.5分； （注：1.需提供合同、评价表等相关证明材料复印件并加盖公章，以评价表时间为准，不符合要求 或不提供不得分。2.同一项目就低不就高计算得分，不重复得分。本项最高得3分。）</w:t>
            </w:r>
          </w:p>
        </w:tc>
      </w:tr>
      <w:tr>
        <w:tc>
          <w:tcPr>
            <w:tcW w:type="dxa" w:w="922"/>
            <w:gridSpan w:val="2"/>
            <w:vMerge/>
          </w:tcPr>
          <w:p/>
        </w:tc>
        <w:tc>
          <w:tcPr>
            <w:tcW w:type="dxa" w:w="2307"/>
          </w:tcPr>
          <w:p>
            <w:pPr>
              <w:jc w:val="left"/>
            </w:pPr>
            <w:r>
              <w:rPr/>
              <w:t>管理体系认证情况 (6.0分)</w:t>
            </w:r>
          </w:p>
        </w:tc>
        <w:tc>
          <w:tcPr>
            <w:tcW w:type="dxa" w:w="5076"/>
          </w:tcPr>
          <w:p>
            <w:pPr>
              <w:jc w:val="left"/>
            </w:pPr>
            <w:r>
              <w:rPr/>
              <w:t>供应商具有有效期内的质量管理体系认证证书、环境管理体系认证证书、职业健康安全管理体系认证证书，每个得2分，最高得6分。 【注：需同时提供有效期内的有效认证证书复印件及打印网站公布的链接信息资料(网址以http://www.cnca.gov. cn/网站公布为准，不提供不得分。)】</w:t>
            </w:r>
          </w:p>
        </w:tc>
      </w:tr>
      <w:tr>
        <w:tc>
          <w:tcPr>
            <w:tcW w:type="dxa" w:w="922"/>
            <w:gridSpan w:val="2"/>
            <w:vMerge/>
          </w:tcPr>
          <w:p/>
        </w:tc>
        <w:tc>
          <w:tcPr>
            <w:tcW w:type="dxa" w:w="2307"/>
          </w:tcPr>
          <w:p>
            <w:pPr>
              <w:jc w:val="left"/>
            </w:pPr>
            <w:r>
              <w:rPr/>
              <w:t>企业信用 (4.0分)</w:t>
            </w:r>
          </w:p>
        </w:tc>
        <w:tc>
          <w:tcPr>
            <w:tcW w:type="dxa" w:w="5076"/>
          </w:tcPr>
          <w:p>
            <w:pPr>
              <w:jc w:val="left"/>
            </w:pPr>
            <w:r>
              <w:rPr/>
              <w:t>具有人民银行征信中心或合法第三方信用服务机构出具的企业信用报告或 信用记录，得4分。信用报告须在有效期内，若信用报告未显示有效期的 ，自开具之日起一年内有效，且由第三方信用服务机构出具的企业信用报 告还须提供机构人民银行的备案证明资料。（注：需提供相关证书或信用报告/记录复印件并加盖供应商公章，未按要求提供资料不得分）</w:t>
            </w:r>
          </w:p>
        </w:tc>
      </w:tr>
      <w:tr>
        <w:tc>
          <w:tcPr>
            <w:tcW w:type="dxa" w:w="922"/>
            <w:gridSpan w:val="2"/>
            <w:vMerge/>
          </w:tcPr>
          <w:p/>
        </w:tc>
        <w:tc>
          <w:tcPr>
            <w:tcW w:type="dxa" w:w="2307"/>
          </w:tcPr>
          <w:p>
            <w:pPr>
              <w:jc w:val="left"/>
            </w:pPr>
            <w:r>
              <w:rPr/>
              <w:t>企业信誉及履约能力情况 (6.0分)</w:t>
            </w:r>
          </w:p>
        </w:tc>
        <w:tc>
          <w:tcPr>
            <w:tcW w:type="dxa" w:w="5076"/>
          </w:tcPr>
          <w:p>
            <w:pPr>
              <w:jc w:val="left"/>
            </w:pPr>
            <w:r>
              <w:rPr/>
              <w:t>供应商具有政府部门或第三方认证机构颁发的荣誉、证书等，每项得2分，最高得6分。 （注：需提供证明材料复印件或有效的网络查询途径并加盖公章，否则无效。）</w:t>
            </w:r>
          </w:p>
        </w:tc>
      </w:tr>
      <w:tr>
        <w:tc>
          <w:tcPr>
            <w:tcW w:type="dxa" w:w="922"/>
            <w:gridSpan w:val="2"/>
            <w:vMerge/>
          </w:tcPr>
          <w:p/>
        </w:tc>
        <w:tc>
          <w:tcPr>
            <w:tcW w:type="dxa" w:w="2307"/>
          </w:tcPr>
          <w:p>
            <w:pPr>
              <w:jc w:val="left"/>
            </w:pPr>
            <w:r>
              <w:rPr/>
              <w:t>项目人员 (7.0分)</w:t>
            </w:r>
          </w:p>
        </w:tc>
        <w:tc>
          <w:tcPr>
            <w:tcW w:type="dxa" w:w="5076"/>
          </w:tcPr>
          <w:p>
            <w:pPr>
              <w:jc w:val="left"/>
            </w:pPr>
            <w:r>
              <w:rPr/>
              <w:t>项目团队管理人员具有人力资源管理师、劳动关系协调员证书的，每人得 1分，本项最高得7分。（注：须提供身份证、有效的证书及2022年10月至今任意一个月供应商为其缴纳的社保证明文件复印件并加盖公章。如果供应商成立时间或该人员入职不足1个月，则提供人员入职证明。社保证明文件可提供以供应商名义代缴个税税单或参加社会保险的《投保单》或《社会保险参保人员证明》均可。若供应商未能提供该人员社保的，可以在响应文件中提供相 关承诺书原件并加盖公章，格式自拟，承诺书内容包括但不限于以下内容 ：“若我单位成交，合同签订时保证按响应文件中所配备投入本项目的人员全部到位并提供所有人员以我单位缴纳的社保证明，否则视为我单位放弃 成交资格”，视为满足评审要求。）</w:t>
            </w:r>
          </w:p>
        </w:tc>
      </w:tr>
      <w:tr>
        <w:tc>
          <w:tcPr>
            <w:tcW w:type="dxa" w:w="922"/>
            <w:gridSpan w:val="2"/>
            <w:vMerge/>
          </w:tcPr>
          <w:p/>
        </w:tc>
        <w:tc>
          <w:tcPr>
            <w:tcW w:type="dxa" w:w="2307"/>
          </w:tcPr>
          <w:p>
            <w:pPr>
              <w:jc w:val="left"/>
            </w:pPr>
            <w:r>
              <w:rPr/>
              <w:t>服务响应情况 (6.0分)</w:t>
            </w:r>
          </w:p>
        </w:tc>
        <w:tc>
          <w:tcPr>
            <w:tcW w:type="dxa" w:w="5076"/>
          </w:tcPr>
          <w:p>
            <w:pPr>
              <w:jc w:val="left"/>
            </w:pPr>
            <w:r>
              <w:rPr/>
              <w:t>1.供应商在采购人提出服务要求后30分钟内(含30分钟) 响应(给予解答、指导，排除有关问题)，1小时内(含1小时) 派服务人员赶到现场提供服务的，得6分；  2.供应商在采购人提出服务要求后30分钟外(不含30分钟) 到1小时内(含1小时)响应(给予解答、指导，排除有关问题)，1小时外(不含1小时)到2小时内 (含2小时)派服务人员赶到现场提供服务的，得3分； 3.供应商在采购人提出服务要求后1小时外(不含1小时) 到2小时内(含2小时)响应(给予解答、指导，排除有关问题)，2小时外(不含2小时)到3小时内(含3小时)派服务人员赶到现场提供服务的，得1分。 无或其他得0分。 【注：需提供加盖投标供应商公章的承诺函原件(格式自拟) 作为证明文件，无或缺项或未按要求递交证明材料的不得分。】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center"/>
      </w:pPr>
    </w:p>
    <w:p>
      <w:pPr>
        <w:jc w:val="center"/>
      </w:pPr>
    </w:p>
    <w:p>
      <w:pPr>
        <w:jc w:val="center"/>
      </w:pPr>
      <w:r>
        <w:rPr>
          <w:sz w:val="30"/>
        </w:rPr>
        <w:t>广东省政府采购</w:t>
      </w:r>
    </w:p>
    <w:p>
      <w:pPr>
        <w:jc w:val="center"/>
      </w:pPr>
      <w:r>
        <w:rPr/>
        <w:t xml:space="preserve"> </w:t>
      </w:r>
    </w:p>
    <w:p>
      <w:pPr>
        <w:jc w:val="center"/>
      </w:pPr>
    </w:p>
    <w:p>
      <w:pPr>
        <w:jc w:val="center"/>
      </w:pPr>
    </w:p>
    <w:p>
      <w:pPr>
        <w:jc w:val="center"/>
      </w:pPr>
    </w:p>
    <w:p>
      <w:pPr>
        <w:jc w:val="center"/>
      </w:pPr>
      <w:r>
        <w:rPr>
          <w:sz w:val="30"/>
        </w:rPr>
        <w:t>合</w:t>
      </w:r>
      <w:r>
        <w:rPr>
          <w:sz w:val="30"/>
        </w:rPr>
        <w:t>同</w:t>
      </w:r>
      <w:r>
        <w:rPr>
          <w:sz w:val="30"/>
        </w:rPr>
        <w:t>书</w:t>
      </w:r>
    </w:p>
    <w:p>
      <w:pPr>
        <w:jc w:val="center"/>
      </w:pPr>
      <w:r>
        <w:rPr/>
        <w:t xml:space="preserve"> </w:t>
      </w:r>
    </w:p>
    <w:p>
      <w:pPr>
        <w:jc w:val="both"/>
      </w:pPr>
    </w:p>
    <w:p>
      <w:pPr>
        <w:jc w:val="center"/>
      </w:pPr>
    </w:p>
    <w:p>
      <w:pPr>
        <w:jc w:val="center"/>
      </w:pPr>
      <w:r>
        <w:rPr>
          <w:sz w:val="30"/>
        </w:rPr>
        <w:t>采购计划编号：</w:t>
      </w:r>
    </w:p>
    <w:p>
      <w:pPr>
        <w:jc w:val="center"/>
      </w:pPr>
      <w:r>
        <w:rPr/>
        <w:t xml:space="preserve"> </w:t>
      </w:r>
    </w:p>
    <w:p>
      <w:pPr>
        <w:jc w:val="center"/>
      </w:pPr>
    </w:p>
    <w:p>
      <w:pPr>
        <w:jc w:val="center"/>
      </w:pPr>
      <w:r>
        <w:rPr>
          <w:sz w:val="30"/>
        </w:rPr>
        <w:t>项目编号：</w:t>
      </w:r>
    </w:p>
    <w:p>
      <w:pPr>
        <w:jc w:val="center"/>
      </w:pPr>
      <w:r>
        <w:rPr/>
        <w:t xml:space="preserve"> </w:t>
      </w:r>
    </w:p>
    <w:p>
      <w:pPr>
        <w:jc w:val="both"/>
      </w:pPr>
    </w:p>
    <w:p>
      <w:pPr>
        <w:jc w:val="center"/>
      </w:pPr>
    </w:p>
    <w:p>
      <w:pPr>
        <w:jc w:val="center"/>
      </w:pPr>
      <w:r>
        <w:rPr>
          <w:sz w:val="30"/>
        </w:rPr>
        <w:t>项目名称：</w:t>
      </w:r>
    </w:p>
    <w:p>
      <w:pPr>
        <w:jc w:val="both"/>
      </w:pPr>
    </w:p>
    <w:p>
      <w:pPr>
        <w:jc w:val="both"/>
      </w:pPr>
      <w:r>
        <w:rPr>
          <w:sz w:val="21"/>
        </w:rPr>
        <w:t>注：</w:t>
      </w:r>
      <w:r>
        <w:rPr>
          <w:sz w:val="21"/>
        </w:rPr>
        <w:t>本合同仅为合同的参考文本，合同签订双方可根据项目的具体要求进行修订。</w:t>
      </w:r>
    </w:p>
    <w:p>
      <w:pPr>
        <w:jc w:val="both"/>
      </w:pPr>
    </w:p>
    <w:p>
      <w:pPr>
        <w:jc w:val="center"/>
      </w:pPr>
    </w:p>
    <w:p>
      <w:pPr>
        <w:jc w:val="both"/>
      </w:pPr>
    </w:p>
    <w:p>
      <w:pPr>
        <w:jc w:val="center"/>
      </w:pPr>
    </w:p>
    <w:p>
      <w:pPr>
        <w:jc w:val="both"/>
      </w:pPr>
    </w:p>
    <w:p>
      <w:pPr>
        <w:jc w:val="both"/>
      </w:pPr>
      <w:r>
        <w:rPr>
          <w:sz w:val="21"/>
        </w:rPr>
        <w:t>甲方：</w:t>
      </w:r>
    </w:p>
    <w:p>
      <w:pPr>
        <w:jc w:val="both"/>
      </w:pPr>
    </w:p>
    <w:p>
      <w:pPr>
        <w:jc w:val="both"/>
      </w:pPr>
      <w:r>
        <w:rPr>
          <w:sz w:val="21"/>
        </w:rPr>
        <w:t>乙方：</w:t>
      </w:r>
    </w:p>
    <w:p>
      <w:pPr>
        <w:jc w:val="both"/>
      </w:pPr>
    </w:p>
    <w:p>
      <w:pPr>
        <w:jc w:val="both"/>
      </w:pPr>
      <w:r>
        <w:rPr>
          <w:sz w:val="21"/>
        </w:rPr>
        <w:t>根据（项目名称</w:t>
      </w:r>
      <w:r>
        <w:rPr>
          <w:sz w:val="21"/>
        </w:rPr>
        <w:t>）（项目编号</w:t>
      </w:r>
      <w:r>
        <w:rPr>
          <w:sz w:val="21"/>
        </w:rPr>
        <w:t>)</w:t>
      </w:r>
      <w:r>
        <w:rPr>
          <w:sz w:val="21"/>
        </w:rPr>
        <w:t>的采购结果，按照《中华人民共和国政府采购法》、《中华人民共和国民法典》的规定，经双方  协商，本着平等互利和诚实信用的原则，一致同意签订本合同如下。</w:t>
      </w:r>
    </w:p>
    <w:p>
      <w:pPr>
        <w:jc w:val="both"/>
      </w:pPr>
      <w:r>
        <w:rPr>
          <w:sz w:val="21"/>
        </w:rPr>
        <w:t>一、项目内容</w:t>
      </w:r>
    </w:p>
    <w:p>
      <w:r>
        <w:rPr>
          <w:sz w:val="22"/>
        </w:rPr>
        <w:t>1.</w:t>
      </w:r>
      <w:r>
        <w:rPr>
          <w:sz w:val="22"/>
        </w:rPr>
        <w:t>政务便民项目服务</w:t>
      </w:r>
    </w:p>
    <w:tbl>
      <w:tblPr>
        <w:tblW w:w="0" w:type="auto"/>
        <w:tblBorders>
          <w:top w:val="none" w:color="000000" w:sz="4"/>
          <w:left w:val="none" w:color="000000" w:sz="4"/>
          <w:bottom w:val="none" w:color="000000" w:sz="4"/>
          <w:right w:val="none" w:color="000000" w:sz="4"/>
          <w:insideH w:val="none"/>
          <w:insideV w:val="none"/>
        </w:tblBorders>
      </w:tblPr>
      <w:tblGrid>
        <w:gridCol w:w="447"/>
        <w:gridCol w:w="1789"/>
        <w:gridCol w:w="3519"/>
        <w:gridCol w:w="715"/>
        <w:gridCol w:w="1819"/>
      </w:tblGrid>
      <w:tr>
        <w:tc>
          <w:tcPr>
            <w:tcW w:type="dxa" w:w="447"/>
            <w:tcBorders>
              <w:top w:val="single" w:color="000000" w:sz="4"/>
              <w:left w:val="single" w:color="000000" w:sz="4"/>
              <w:bottom w:val="single" w:color="000000" w:sz="4"/>
              <w:right w:val="single" w:color="000000" w:sz="4"/>
            </w:tcBorders>
            <w:shd w:fill="D0CECE"/>
            <w:vAlign w:val="top"/>
          </w:tcPr>
          <w:p>
            <w:pPr>
              <w:jc w:val="center"/>
            </w:pPr>
            <w:r>
              <w:rPr>
                <w:b/>
                <w:sz w:val="22"/>
              </w:rPr>
              <w:t>序</w:t>
            </w:r>
          </w:p>
          <w:p>
            <w:pPr>
              <w:jc w:val="center"/>
            </w:pPr>
            <w:r>
              <w:rPr>
                <w:b/>
                <w:sz w:val="22"/>
              </w:rPr>
              <w:t>号</w:t>
            </w:r>
          </w:p>
        </w:tc>
        <w:tc>
          <w:tcPr>
            <w:tcW w:type="dxa" w:w="1789"/>
            <w:tcBorders>
              <w:top w:val="single" w:color="000000" w:sz="4"/>
              <w:left w:val="none" w:color="000000" w:sz="4"/>
              <w:bottom w:val="single" w:color="000000" w:sz="4"/>
              <w:right w:val="single" w:color="000000" w:sz="4"/>
            </w:tcBorders>
            <w:shd w:fill="D0CECE"/>
            <w:vAlign w:val="top"/>
          </w:tcPr>
          <w:p>
            <w:pPr>
              <w:jc w:val="center"/>
            </w:pPr>
            <w:r>
              <w:rPr>
                <w:b/>
                <w:sz w:val="22"/>
              </w:rPr>
              <w:t>项目内容</w:t>
            </w:r>
          </w:p>
        </w:tc>
        <w:tc>
          <w:tcPr>
            <w:tcW w:type="dxa" w:w="3519"/>
            <w:tcBorders>
              <w:top w:val="single" w:color="000000" w:sz="4"/>
              <w:left w:val="none" w:color="000000" w:sz="4"/>
              <w:bottom w:val="single" w:color="000000" w:sz="4"/>
              <w:right w:val="single" w:color="000000" w:sz="4"/>
            </w:tcBorders>
            <w:shd w:fill="D0CECE"/>
            <w:vAlign w:val="top"/>
          </w:tcPr>
          <w:p>
            <w:pPr>
              <w:jc w:val="center"/>
            </w:pPr>
            <w:r>
              <w:rPr>
                <w:b/>
                <w:sz w:val="22"/>
              </w:rPr>
              <w:t>具体内容</w:t>
            </w:r>
          </w:p>
        </w:tc>
        <w:tc>
          <w:tcPr>
            <w:tcW w:type="dxa" w:w="715"/>
            <w:tcBorders>
              <w:top w:val="single" w:color="000000" w:sz="4"/>
              <w:left w:val="none" w:color="000000" w:sz="4"/>
              <w:bottom w:val="single" w:color="000000" w:sz="4"/>
              <w:right w:val="single" w:color="000000" w:sz="4"/>
            </w:tcBorders>
            <w:shd w:fill="D0CECE"/>
            <w:vAlign w:val="top"/>
          </w:tcPr>
          <w:p>
            <w:pPr>
              <w:jc w:val="center"/>
            </w:pPr>
            <w:r>
              <w:rPr>
                <w:b/>
                <w:sz w:val="22"/>
              </w:rPr>
              <w:t>量化</w:t>
            </w:r>
          </w:p>
          <w:p>
            <w:pPr>
              <w:jc w:val="center"/>
            </w:pPr>
            <w:r>
              <w:rPr>
                <w:b/>
                <w:sz w:val="22"/>
              </w:rPr>
              <w:t>单位</w:t>
            </w:r>
          </w:p>
        </w:tc>
        <w:tc>
          <w:tcPr>
            <w:tcW w:type="dxa" w:w="1819"/>
            <w:tcBorders>
              <w:top w:val="single" w:color="000000" w:sz="4"/>
              <w:left w:val="none" w:color="000000" w:sz="4"/>
              <w:bottom w:val="single" w:color="000000" w:sz="4"/>
              <w:right w:val="single" w:color="000000" w:sz="4"/>
            </w:tcBorders>
            <w:shd w:fill="D0CECE"/>
            <w:vAlign w:val="top"/>
          </w:tcPr>
          <w:p>
            <w:pPr>
              <w:jc w:val="center"/>
            </w:pPr>
            <w:r>
              <w:rPr>
                <w:b/>
                <w:sz w:val="22"/>
              </w:rPr>
              <w:t>指标数量</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前台导税服务</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120000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自助办税区引导服务</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60000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咨询服务语音坐席</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17600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个税</w:t>
            </w:r>
            <w:r>
              <w:rPr>
                <w:sz w:val="22"/>
              </w:rPr>
              <w:t>App辅导专窗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79000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个人代开发票辅导专窗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20000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一手房契税线上申报辅导专窗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40000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车船税及车辆购置税服务专窗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20000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8</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社保服务专窗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170000</w:t>
            </w:r>
          </w:p>
        </w:tc>
      </w:tr>
      <w:tr>
        <w:tc>
          <w:tcPr>
            <w:tcW w:type="dxa" w:w="447"/>
            <w:tcBorders>
              <w:top w:val="none" w:color="000000" w:sz="4"/>
              <w:left w:val="single" w:color="000000" w:sz="4"/>
              <w:bottom w:val="single" w:color="000000" w:sz="4"/>
              <w:right w:val="single" w:color="000000" w:sz="4"/>
            </w:tcBorders>
            <w:vAlign w:val="top"/>
          </w:tcPr>
          <w:p>
            <w:pPr>
              <w:jc w:val="center"/>
            </w:pPr>
            <w:r>
              <w:rPr>
                <w:sz w:val="22"/>
              </w:rPr>
              <w:t>9</w:t>
            </w:r>
          </w:p>
        </w:tc>
        <w:tc>
          <w:tcPr>
            <w:tcW w:type="dxa" w:w="1789"/>
            <w:tcBorders>
              <w:top w:val="none" w:color="000000" w:sz="4"/>
              <w:left w:val="none" w:color="000000" w:sz="4"/>
              <w:bottom w:val="single" w:color="000000" w:sz="4"/>
              <w:right w:val="single" w:color="000000" w:sz="4"/>
            </w:tcBorders>
            <w:vAlign w:val="top"/>
          </w:tcPr>
          <w:p>
            <w:pPr>
              <w:jc w:val="center"/>
            </w:pPr>
            <w:r>
              <w:rPr>
                <w:sz w:val="22"/>
              </w:rPr>
              <w:t>政务便民项目</w:t>
            </w:r>
          </w:p>
        </w:tc>
        <w:tc>
          <w:tcPr>
            <w:tcW w:type="dxa" w:w="3519"/>
            <w:tcBorders>
              <w:top w:val="none" w:color="000000" w:sz="4"/>
              <w:left w:val="none" w:color="000000" w:sz="4"/>
              <w:bottom w:val="single" w:color="000000" w:sz="4"/>
              <w:right w:val="single" w:color="000000" w:sz="4"/>
            </w:tcBorders>
            <w:vAlign w:val="top"/>
          </w:tcPr>
          <w:p>
            <w:pPr>
              <w:jc w:val="center"/>
            </w:pPr>
            <w:r>
              <w:rPr>
                <w:sz w:val="22"/>
              </w:rPr>
              <w:t>医保服务专窗</w:t>
            </w:r>
          </w:p>
        </w:tc>
        <w:tc>
          <w:tcPr>
            <w:tcW w:type="dxa" w:w="715"/>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819"/>
            <w:tcBorders>
              <w:top w:val="none" w:color="000000" w:sz="4"/>
              <w:left w:val="none" w:color="000000" w:sz="4"/>
              <w:bottom w:val="single" w:color="000000" w:sz="4"/>
              <w:right w:val="single" w:color="000000" w:sz="4"/>
            </w:tcBorders>
            <w:vAlign w:val="top"/>
          </w:tcPr>
          <w:p>
            <w:pPr>
              <w:jc w:val="center"/>
            </w:pPr>
            <w:r>
              <w:rPr>
                <w:sz w:val="22"/>
              </w:rPr>
              <w:t>不少于</w:t>
            </w:r>
            <w:r>
              <w:rPr>
                <w:sz w:val="22"/>
              </w:rPr>
              <w:t>170000</w:t>
            </w:r>
          </w:p>
        </w:tc>
      </w:tr>
    </w:tbl>
    <w:p>
      <w:r>
        <w:rPr>
          <w:sz w:val="22"/>
        </w:rPr>
        <w:t>2.</w:t>
      </w:r>
      <w:r>
        <w:rPr>
          <w:sz w:val="22"/>
        </w:rPr>
        <w:t>对企业政策指导服务</w:t>
      </w:r>
    </w:p>
    <w:tbl>
      <w:tblPr>
        <w:tblW w:w="0" w:type="auto"/>
        <w:tblBorders>
          <w:top w:val="none" w:color="000000" w:sz="4"/>
          <w:left w:val="none" w:color="000000" w:sz="4"/>
          <w:bottom w:val="none" w:color="000000" w:sz="4"/>
          <w:right w:val="none" w:color="000000" w:sz="4"/>
          <w:insideH w:val="none"/>
          <w:insideV w:val="none"/>
        </w:tblBorders>
      </w:tblPr>
      <w:tblGrid>
        <w:gridCol w:w="525"/>
        <w:gridCol w:w="1810"/>
        <w:gridCol w:w="3722"/>
        <w:gridCol w:w="686"/>
        <w:gridCol w:w="1547"/>
      </w:tblGrid>
      <w:tr>
        <w:tc>
          <w:tcPr>
            <w:tcW w:type="dxa" w:w="525"/>
            <w:tcBorders>
              <w:top w:val="single" w:color="000000" w:sz="4"/>
              <w:left w:val="single" w:color="000000" w:sz="4"/>
              <w:bottom w:val="single" w:color="000000" w:sz="4"/>
              <w:right w:val="single" w:color="000000" w:sz="4"/>
            </w:tcBorders>
            <w:shd w:fill="D0CECE"/>
            <w:vAlign w:val="top"/>
          </w:tcPr>
          <w:p>
            <w:pPr>
              <w:jc w:val="center"/>
            </w:pPr>
            <w:r>
              <w:rPr>
                <w:b/>
                <w:sz w:val="22"/>
              </w:rPr>
              <w:t>序号</w:t>
            </w:r>
          </w:p>
        </w:tc>
        <w:tc>
          <w:tcPr>
            <w:tcW w:type="dxa" w:w="1810"/>
            <w:tcBorders>
              <w:top w:val="single" w:color="000000" w:sz="4"/>
              <w:left w:val="none" w:color="000000" w:sz="4"/>
              <w:bottom w:val="single" w:color="000000" w:sz="4"/>
              <w:right w:val="single" w:color="000000" w:sz="4"/>
            </w:tcBorders>
            <w:shd w:fill="D0CECE"/>
            <w:vAlign w:val="top"/>
          </w:tcPr>
          <w:p>
            <w:pPr>
              <w:jc w:val="center"/>
            </w:pPr>
            <w:r>
              <w:rPr>
                <w:b/>
                <w:sz w:val="22"/>
              </w:rPr>
              <w:t>项目内容</w:t>
            </w:r>
          </w:p>
        </w:tc>
        <w:tc>
          <w:tcPr>
            <w:tcW w:type="dxa" w:w="3722"/>
            <w:tcBorders>
              <w:top w:val="single" w:color="000000" w:sz="4"/>
              <w:left w:val="none" w:color="000000" w:sz="4"/>
              <w:bottom w:val="single" w:color="000000" w:sz="4"/>
              <w:right w:val="single" w:color="000000" w:sz="4"/>
            </w:tcBorders>
            <w:shd w:fill="D0CECE"/>
            <w:vAlign w:val="top"/>
          </w:tcPr>
          <w:p>
            <w:pPr>
              <w:jc w:val="center"/>
            </w:pPr>
            <w:r>
              <w:rPr>
                <w:b/>
                <w:sz w:val="22"/>
              </w:rPr>
              <w:t>具体内容</w:t>
            </w:r>
          </w:p>
        </w:tc>
        <w:tc>
          <w:tcPr>
            <w:tcW w:type="dxa" w:w="686"/>
            <w:tcBorders>
              <w:top w:val="single" w:color="000000" w:sz="4"/>
              <w:left w:val="none" w:color="000000" w:sz="4"/>
              <w:bottom w:val="single" w:color="000000" w:sz="4"/>
              <w:right w:val="single" w:color="000000" w:sz="4"/>
            </w:tcBorders>
            <w:shd w:fill="D0CECE"/>
            <w:vAlign w:val="top"/>
          </w:tcPr>
          <w:p>
            <w:pPr>
              <w:jc w:val="center"/>
            </w:pPr>
            <w:r>
              <w:rPr>
                <w:b/>
                <w:sz w:val="22"/>
              </w:rPr>
              <w:t>量化单位</w:t>
            </w:r>
          </w:p>
        </w:tc>
        <w:tc>
          <w:tcPr>
            <w:tcW w:type="dxa" w:w="1547"/>
            <w:tcBorders>
              <w:top w:val="single" w:color="000000" w:sz="4"/>
              <w:left w:val="none" w:color="000000" w:sz="4"/>
              <w:bottom w:val="single" w:color="000000" w:sz="4"/>
              <w:right w:val="single" w:color="000000" w:sz="4"/>
            </w:tcBorders>
            <w:shd w:fill="D0CECE"/>
            <w:vAlign w:val="top"/>
          </w:tcPr>
          <w:p>
            <w:pPr>
              <w:jc w:val="center"/>
            </w:pPr>
            <w:r>
              <w:rPr>
                <w:b/>
                <w:sz w:val="22"/>
              </w:rPr>
              <w:t>指标数量</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优化营商环境税收政策指导服务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600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减税降费税收政策指导服务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20000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企业所得税年度汇算清缴辅导服务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11000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个人所得税年度汇算清缴辅导服务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35000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纳    税   信   用  等级评定指导服务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11700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增值税专用发票电子化辅导服务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1600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大企业辅导服务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500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8</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二手房交易辅导服务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500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9</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小规模企业辅导服务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10000</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1810"/>
            <w:tcBorders>
              <w:top w:val="none" w:color="000000" w:sz="4"/>
              <w:left w:val="none" w:color="000000" w:sz="4"/>
              <w:bottom w:val="single" w:color="000000" w:sz="4"/>
              <w:right w:val="single" w:color="000000" w:sz="4"/>
            </w:tcBorders>
            <w:vAlign w:val="top"/>
          </w:tcPr>
          <w:p>
            <w:pPr>
              <w:jc w:val="center"/>
            </w:pPr>
            <w:r>
              <w:rPr>
                <w:sz w:val="22"/>
              </w:rPr>
              <w:t>对企业的政策指导服务</w:t>
            </w:r>
          </w:p>
        </w:tc>
        <w:tc>
          <w:tcPr>
            <w:tcW w:type="dxa" w:w="3722"/>
            <w:tcBorders>
              <w:top w:val="none" w:color="000000" w:sz="4"/>
              <w:left w:val="none" w:color="000000" w:sz="4"/>
              <w:bottom w:val="single" w:color="000000" w:sz="4"/>
              <w:right w:val="single" w:color="000000" w:sz="4"/>
            </w:tcBorders>
            <w:vAlign w:val="top"/>
          </w:tcPr>
          <w:p>
            <w:pPr>
              <w:jc w:val="center"/>
            </w:pPr>
            <w:r>
              <w:rPr>
                <w:sz w:val="22"/>
              </w:rPr>
              <w:t>股权转让辅导服务</w:t>
            </w:r>
          </w:p>
        </w:tc>
        <w:tc>
          <w:tcPr>
            <w:tcW w:type="dxa" w:w="686"/>
            <w:tcBorders>
              <w:top w:val="none" w:color="000000" w:sz="4"/>
              <w:left w:val="none" w:color="000000" w:sz="4"/>
              <w:bottom w:val="single" w:color="000000" w:sz="4"/>
              <w:right w:val="single" w:color="000000" w:sz="4"/>
            </w:tcBorders>
            <w:vAlign w:val="top"/>
          </w:tcPr>
          <w:p>
            <w:pPr>
              <w:jc w:val="center"/>
            </w:pPr>
            <w:r>
              <w:rPr>
                <w:sz w:val="22"/>
              </w:rPr>
              <w:t>宗</w:t>
            </w:r>
          </w:p>
        </w:tc>
        <w:tc>
          <w:tcPr>
            <w:tcW w:type="dxa" w:w="1547"/>
            <w:tcBorders>
              <w:top w:val="none" w:color="000000" w:sz="4"/>
              <w:left w:val="none" w:color="000000" w:sz="4"/>
              <w:bottom w:val="single" w:color="000000" w:sz="4"/>
              <w:right w:val="single" w:color="000000" w:sz="4"/>
            </w:tcBorders>
            <w:vAlign w:val="top"/>
          </w:tcPr>
          <w:p>
            <w:pPr>
              <w:jc w:val="center"/>
            </w:pPr>
            <w:r>
              <w:rPr>
                <w:sz w:val="22"/>
              </w:rPr>
              <w:t>不少于</w:t>
            </w:r>
            <w:r>
              <w:rPr>
                <w:sz w:val="22"/>
              </w:rPr>
              <w:t>2000</w:t>
            </w:r>
          </w:p>
        </w:tc>
      </w:tr>
    </w:tbl>
    <w:p>
      <w:pPr>
        <w:jc w:val="left"/>
      </w:pPr>
      <w:r>
        <w:rPr>
          <w:b/>
          <w:sz w:val="17"/>
        </w:rPr>
        <w:t>注：以上工作服务项目数量为</w:t>
      </w:r>
      <w:r>
        <w:rPr>
          <w:b/>
          <w:sz w:val="17"/>
        </w:rPr>
        <w:t>12</w:t>
      </w:r>
      <w:r>
        <w:rPr>
          <w:b/>
          <w:sz w:val="17"/>
        </w:rPr>
        <w:t>个月的预估数量，合同实施时以实际结算为准。</w:t>
      </w:r>
    </w:p>
    <w:p>
      <w:pPr>
        <w:jc w:val="both"/>
      </w:pPr>
    </w:p>
    <w:p>
      <w:pPr>
        <w:jc w:val="both"/>
      </w:pPr>
      <w:r>
        <w:rPr>
          <w:sz w:val="21"/>
        </w:rPr>
        <w:t>二、服务要求</w:t>
      </w:r>
    </w:p>
    <w:p>
      <w:pPr>
        <w:jc w:val="both"/>
      </w:pPr>
      <w:r>
        <w:rPr>
          <w:sz w:val="21"/>
        </w:rPr>
        <w:t>1</w:t>
      </w:r>
      <w:r>
        <w:rPr>
          <w:sz w:val="21"/>
        </w:rPr>
        <w:t>、根据服务项目内容及预估数量测算岗位设置，乙方须提供不</w:t>
      </w:r>
      <w:r>
        <w:rPr>
          <w:sz w:val="21"/>
        </w:rPr>
        <w:t>少于</w:t>
      </w:r>
      <w:r>
        <w:rPr>
          <w:sz w:val="21"/>
        </w:rPr>
        <w:t>15</w:t>
      </w:r>
      <w:r>
        <w:rPr>
          <w:sz w:val="21"/>
        </w:rPr>
        <w:t>名</w:t>
      </w:r>
      <w:r>
        <w:rPr>
          <w:sz w:val="21"/>
        </w:rPr>
        <w:t>工作人员。</w:t>
      </w:r>
    </w:p>
    <w:p>
      <w:pPr>
        <w:jc w:val="both"/>
      </w:pPr>
      <w:r>
        <w:rPr>
          <w:sz w:val="21"/>
        </w:rPr>
        <w:t>2</w:t>
      </w:r>
      <w:r>
        <w:rPr>
          <w:sz w:val="21"/>
        </w:rPr>
        <w:t>、乙方招聘符合采购人需求的工作人员，根据采购人的需求，对应聘人员的学历、专业、职称及专业资格等进行初步把关。</w:t>
      </w:r>
    </w:p>
    <w:p>
      <w:pPr>
        <w:jc w:val="both"/>
      </w:pPr>
      <w:r>
        <w:rPr>
          <w:sz w:val="21"/>
        </w:rPr>
        <w:t>3</w:t>
      </w:r>
      <w:r>
        <w:rPr>
          <w:sz w:val="21"/>
        </w:rPr>
        <w:t>、乙方对工作人员入职手续的办理，根据工作人员的学历等确定工资级别、实习期限等，签订劳动合同。乙方负责对工作人员的资料进行审核，确保工作人员资料的真实性以及无犯罪记录和违反计划生育政策。</w:t>
      </w:r>
    </w:p>
    <w:p>
      <w:pPr>
        <w:jc w:val="both"/>
      </w:pPr>
      <w:r>
        <w:rPr>
          <w:sz w:val="21"/>
        </w:rPr>
        <w:t>4</w:t>
      </w:r>
      <w:r>
        <w:rPr>
          <w:sz w:val="21"/>
        </w:rPr>
        <w:t>、乙方统计工作人员的考勤，为工作人员发放工资，代扣缴个人所得税，缴纳各类社会保险金，购买住房公积金等。</w:t>
      </w:r>
    </w:p>
    <w:p>
      <w:pPr>
        <w:jc w:val="both"/>
      </w:pPr>
      <w:r>
        <w:rPr>
          <w:sz w:val="21"/>
        </w:rPr>
        <w:t>5</w:t>
      </w:r>
      <w:r>
        <w:rPr>
          <w:sz w:val="21"/>
        </w:rPr>
        <w:t>、乙方为工作人员组织年度体检，并将体检结果复印给采购人。</w:t>
      </w:r>
    </w:p>
    <w:p>
      <w:pPr>
        <w:jc w:val="both"/>
      </w:pPr>
      <w:r>
        <w:rPr>
          <w:sz w:val="21"/>
        </w:rPr>
        <w:t>6</w:t>
      </w:r>
      <w:r>
        <w:rPr>
          <w:sz w:val="21"/>
        </w:rPr>
        <w:t>、乙方跟踪办理工伤事故和人身意外事故，包括工伤死亡赔偿、工作时间交通死亡赔偿、工伤事故赔偿等。</w:t>
      </w:r>
    </w:p>
    <w:p>
      <w:pPr>
        <w:jc w:val="both"/>
      </w:pPr>
      <w:r>
        <w:rPr>
          <w:sz w:val="21"/>
        </w:rPr>
        <w:t>7</w:t>
      </w:r>
      <w:r>
        <w:rPr>
          <w:sz w:val="21"/>
        </w:rPr>
        <w:t>、由乙方出具工作人员的各类人事证明。</w:t>
      </w:r>
    </w:p>
    <w:p>
      <w:pPr>
        <w:jc w:val="both"/>
      </w:pPr>
      <w:r>
        <w:rPr>
          <w:sz w:val="21"/>
        </w:rPr>
        <w:t>8</w:t>
      </w:r>
      <w:r>
        <w:rPr>
          <w:sz w:val="21"/>
        </w:rPr>
        <w:t>、由乙方负责工作人员劳动纠纷处理，解除、终止劳动合同处理，以及跟工作人员解除劳动关系补偿金的处理。</w:t>
      </w:r>
    </w:p>
    <w:p>
      <w:pPr>
        <w:jc w:val="both"/>
      </w:pPr>
      <w:r>
        <w:rPr>
          <w:sz w:val="21"/>
        </w:rPr>
        <w:t>9</w:t>
      </w:r>
      <w:r>
        <w:rPr>
          <w:sz w:val="21"/>
        </w:rPr>
        <w:t>、由乙方制定年度绩效考核方案，每年底对工作人员进行年度绩效考核，并依据考核结果发放绩效奖等。</w:t>
      </w:r>
    </w:p>
    <w:p>
      <w:pPr>
        <w:jc w:val="both"/>
      </w:pPr>
      <w:r>
        <w:rPr>
          <w:sz w:val="21"/>
        </w:rPr>
        <w:t>三、管理要求</w:t>
      </w:r>
    </w:p>
    <w:p>
      <w:pPr>
        <w:jc w:val="both"/>
      </w:pPr>
      <w:r>
        <w:rPr>
          <w:sz w:val="21"/>
        </w:rPr>
        <w:t>1</w:t>
      </w:r>
      <w:r>
        <w:rPr>
          <w:sz w:val="21"/>
        </w:rPr>
        <w:t>、乙方应定岗定责、统一管理，采取定岗方式统一管理。</w:t>
      </w:r>
    </w:p>
    <w:p>
      <w:pPr>
        <w:jc w:val="both"/>
      </w:pPr>
      <w:r>
        <w:rPr>
          <w:sz w:val="21"/>
        </w:rPr>
        <w:t>2</w:t>
      </w:r>
      <w:r>
        <w:rPr>
          <w:sz w:val="21"/>
        </w:rPr>
        <w:t>、乙方要遵从甲方的要求，在指定的工作场所完成事务类工作，遵守和维护工作秩序。</w:t>
      </w:r>
    </w:p>
    <w:p>
      <w:pPr>
        <w:jc w:val="both"/>
      </w:pPr>
      <w:r>
        <w:rPr>
          <w:sz w:val="21"/>
        </w:rPr>
        <w:t>3</w:t>
      </w:r>
      <w:r>
        <w:rPr>
          <w:sz w:val="21"/>
        </w:rPr>
        <w:t>、合同签订后，乙方未能在</w:t>
      </w:r>
      <w:r>
        <w:rPr>
          <w:sz w:val="21"/>
        </w:rPr>
        <w:t>10</w:t>
      </w:r>
      <w:r>
        <w:rPr>
          <w:sz w:val="21"/>
        </w:rPr>
        <w:t>天内正常开展项目运营工作，则视为乙方违约，甲方有权终止合同。</w:t>
      </w:r>
    </w:p>
    <w:p>
      <w:pPr>
        <w:jc w:val="both"/>
      </w:pPr>
      <w:r>
        <w:rPr>
          <w:sz w:val="21"/>
        </w:rPr>
        <w:t>4</w:t>
      </w:r>
      <w:r>
        <w:rPr>
          <w:sz w:val="21"/>
        </w:rPr>
        <w:t>、乙方不得利用工作之便，进行任何非法或本项目范围外的活动，不得损坏、丢失、涂改、抽换、伪造档案，不得擅自修改、复制案件档案资料带离工作场所。如经发现，甲方有权终止合同，构成犯罪的，依法追究刑事责任。</w:t>
      </w:r>
    </w:p>
    <w:p>
      <w:pPr>
        <w:jc w:val="both"/>
      </w:pPr>
      <w:r>
        <w:rPr>
          <w:sz w:val="21"/>
        </w:rPr>
        <w:t>5</w:t>
      </w:r>
      <w:r>
        <w:rPr>
          <w:sz w:val="21"/>
        </w:rPr>
        <w:t>、在服务期间，工作人员须严格遵守甲方的相关工作守则和作息时间，不得迟到、早退、随意旷工，不得因请假影响原有工作。</w:t>
      </w:r>
    </w:p>
    <w:p>
      <w:pPr>
        <w:jc w:val="both"/>
      </w:pPr>
      <w:r>
        <w:rPr>
          <w:sz w:val="21"/>
        </w:rPr>
        <w:t>6</w:t>
      </w:r>
      <w:r>
        <w:rPr>
          <w:sz w:val="21"/>
        </w:rPr>
        <w:t>、在实施服务过程中，甲方有权制定项目服务考核表，对乙方服务质量进行监督检查，如发现问题，有权向乙方提出整改意见；乙方应在收到整改意见后三个工作日内将整改情况及配套管理制度等正式回函甲方；如整改达不到要求的，甲方有权按考核标准内容对乙方进行扣分。</w:t>
      </w:r>
    </w:p>
    <w:p>
      <w:pPr>
        <w:jc w:val="both"/>
      </w:pPr>
      <w:r>
        <w:rPr>
          <w:sz w:val="21"/>
        </w:rPr>
        <w:t>7</w:t>
      </w:r>
      <w:r>
        <w:rPr>
          <w:sz w:val="21"/>
        </w:rPr>
        <w:t>、乙方应综合考虑人员的稳定性，服务期内，按时、按质保证完成服务内容。在服务期内，因乙方派驻的工作人员离职、请休假等原因影响服务质量的，乙方应提前合理安排人员接替，确保工作的稳定性、持续性、连续性，如因乙方不及时补充工作人员，导致不能按时、按质保证服务质量的，甲方有权按考核标准内容对乙方进行扣分。</w:t>
      </w:r>
    </w:p>
    <w:p>
      <w:pPr>
        <w:jc w:val="both"/>
      </w:pPr>
      <w:r>
        <w:rPr>
          <w:sz w:val="21"/>
        </w:rPr>
        <w:t>8</w:t>
      </w:r>
      <w:r>
        <w:rPr>
          <w:sz w:val="21"/>
        </w:rPr>
        <w:t>、乙方与甲方签署保密协议，加强工作人员的安全保密教育，约束工作人员保证不以任何方式对外泄露保密信息。如经发现，甲方有权终止外包服务采购合同，构成犯罪的，依法追究刑事责任。</w:t>
      </w:r>
    </w:p>
    <w:p>
      <w:pPr>
        <w:jc w:val="both"/>
      </w:pPr>
      <w:r>
        <w:rPr>
          <w:sz w:val="21"/>
        </w:rPr>
        <w:t>9</w:t>
      </w:r>
      <w:r>
        <w:rPr>
          <w:sz w:val="21"/>
        </w:rPr>
        <w:t>、乙方应当建立完善的人力资源管理机制，人员的进驻与离职均需经甲方审核并备案，并建立完整的人事档案交甲方备案。</w:t>
      </w:r>
    </w:p>
    <w:p>
      <w:pPr>
        <w:jc w:val="both"/>
      </w:pPr>
      <w:r>
        <w:rPr>
          <w:sz w:val="21"/>
        </w:rPr>
        <w:t>四、合同期限</w:t>
      </w:r>
    </w:p>
    <w:p>
      <w:pPr>
        <w:jc w:val="both"/>
      </w:pPr>
      <w:r>
        <w:rPr>
          <w:sz w:val="21"/>
        </w:rPr>
        <w:t>本协议期限从</w:t>
      </w:r>
      <w:r>
        <w:rPr>
          <w:sz w:val="21"/>
        </w:rPr>
        <w:t xml:space="preserve"> </w:t>
      </w:r>
      <w:r>
        <w:rPr>
          <w:sz w:val="21"/>
        </w:rPr>
        <w:t>年</w:t>
      </w:r>
      <w:r>
        <w:rPr>
          <w:sz w:val="21"/>
        </w:rPr>
        <w:t xml:space="preserve"> </w:t>
      </w:r>
      <w:r>
        <w:rPr>
          <w:sz w:val="21"/>
        </w:rPr>
        <w:t>月</w:t>
      </w:r>
      <w:r>
        <w:rPr>
          <w:sz w:val="21"/>
        </w:rPr>
        <w:t xml:space="preserve"> </w:t>
      </w:r>
      <w:r>
        <w:rPr>
          <w:sz w:val="21"/>
        </w:rPr>
        <w:t>日起至</w:t>
      </w:r>
      <w:r>
        <w:rPr>
          <w:sz w:val="21"/>
        </w:rPr>
        <w:t xml:space="preserve"> </w:t>
      </w:r>
      <w:r>
        <w:rPr>
          <w:sz w:val="21"/>
        </w:rPr>
        <w:t>年</w:t>
      </w:r>
      <w:r>
        <w:rPr>
          <w:sz w:val="21"/>
        </w:rPr>
        <w:t>月</w:t>
      </w:r>
      <w:r>
        <w:rPr>
          <w:sz w:val="21"/>
        </w:rPr>
        <w:t>日止。任何一方若终止合同，应提前一个月以书面形式通知对方，并协助处理有关善后事宜。</w:t>
      </w:r>
    </w:p>
    <w:p>
      <w:pPr>
        <w:jc w:val="both"/>
      </w:pPr>
      <w:r>
        <w:rPr>
          <w:sz w:val="21"/>
        </w:rPr>
        <w:t>五、合同金额</w:t>
      </w:r>
    </w:p>
    <w:p>
      <w:pPr>
        <w:jc w:val="both"/>
      </w:pPr>
      <w:r>
        <w:rPr>
          <w:sz w:val="21"/>
        </w:rPr>
        <w:t>1</w:t>
      </w:r>
      <w:r>
        <w:rPr>
          <w:sz w:val="21"/>
        </w:rPr>
        <w:t>、在服务期间，乙方报价包括了与本次服务项目相关的全部费用，不另向甲方收费。</w:t>
      </w:r>
    </w:p>
    <w:p>
      <w:pPr>
        <w:jc w:val="both"/>
      </w:pPr>
      <w:r>
        <w:rPr>
          <w:sz w:val="21"/>
        </w:rPr>
        <w:t>2</w:t>
      </w:r>
      <w:r>
        <w:rPr>
          <w:sz w:val="21"/>
        </w:rPr>
        <w:t>、甲方支付给乙方的服务费为：</w:t>
      </w:r>
    </w:p>
    <w:p>
      <w:pPr>
        <w:jc w:val="both"/>
      </w:pPr>
      <w:r>
        <w:rPr>
          <w:sz w:val="21"/>
        </w:rPr>
        <w:t>一年：（大写）：</w:t>
      </w:r>
      <w:r>
        <w:rPr>
          <w:sz w:val="21"/>
          <w:u w:val="single"/>
        </w:rPr>
        <w:t xml:space="preserve"> </w:t>
      </w:r>
      <w:r>
        <w:rPr>
          <w:sz w:val="21"/>
        </w:rPr>
        <w:t>（人民币）</w:t>
      </w:r>
    </w:p>
    <w:p>
      <w:pPr>
        <w:jc w:val="both"/>
      </w:pPr>
    </w:p>
    <w:p>
      <w:pPr>
        <w:ind w:firstLine="630"/>
        <w:jc w:val="both"/>
      </w:pPr>
      <w:r>
        <w:rPr>
          <w:sz w:val="21"/>
        </w:rPr>
        <w:t>（小写）：</w:t>
      </w:r>
      <w:r>
        <w:rPr>
          <w:sz w:val="21"/>
          <w:u w:val="single"/>
        </w:rPr>
        <w:t xml:space="preserve"> </w:t>
      </w:r>
      <w:r>
        <w:rPr>
          <w:sz w:val="21"/>
        </w:rPr>
        <w:t>（人民币）</w:t>
      </w:r>
    </w:p>
    <w:p>
      <w:pPr>
        <w:ind w:firstLine="630"/>
        <w:jc w:val="both"/>
      </w:pPr>
      <w:r>
        <w:rPr>
          <w:sz w:val="21"/>
        </w:rPr>
        <w:t>3.乙方开户银行名称、地址和账号为：</w:t>
      </w:r>
    </w:p>
    <w:p>
      <w:pPr>
        <w:jc w:val="both"/>
      </w:pPr>
    </w:p>
    <w:p>
      <w:pPr>
        <w:jc w:val="both"/>
      </w:pPr>
      <w:r>
        <w:rPr>
          <w:sz w:val="21"/>
        </w:rPr>
        <w:t>开户银行：</w:t>
      </w:r>
    </w:p>
    <w:p>
      <w:pPr>
        <w:jc w:val="both"/>
      </w:pPr>
      <w:r>
        <w:rPr>
          <w:sz w:val="21"/>
        </w:rPr>
        <w:t>单位名称：</w:t>
      </w:r>
    </w:p>
    <w:p>
      <w:pPr>
        <w:jc w:val="both"/>
      </w:pPr>
      <w:r>
        <w:rPr>
          <w:sz w:val="21"/>
        </w:rPr>
        <w:t>账</w:t>
      </w:r>
      <w:r>
        <w:rPr>
          <w:sz w:val="21"/>
        </w:rPr>
        <w:t>号</w:t>
      </w:r>
      <w:r>
        <w:rPr>
          <w:sz w:val="21"/>
        </w:rPr>
        <w:t>：</w:t>
      </w:r>
    </w:p>
    <w:p>
      <w:pPr>
        <w:jc w:val="both"/>
      </w:pPr>
      <w:r>
        <w:rPr>
          <w:sz w:val="21"/>
        </w:rPr>
        <w:t>六、工作成果交付和验收</w:t>
      </w:r>
    </w:p>
    <w:p>
      <w:pPr>
        <w:jc w:val="both"/>
      </w:pPr>
      <w:r>
        <w:rPr>
          <w:sz w:val="21"/>
        </w:rPr>
        <w:t>乙方应按服务要求按时保质保量地完成服务工作，并按该项目服务内容，按照约定的数量、质量和周期向甲方交付工作成果。甲方应对乙方提交的工作成果按约定质量标准进行验收，并出具验收意见及评分。</w:t>
      </w:r>
    </w:p>
    <w:p>
      <w:pPr>
        <w:jc w:val="both"/>
      </w:pPr>
      <w:r>
        <w:rPr>
          <w:sz w:val="21"/>
        </w:rPr>
        <w:t>七、质量验收</w:t>
      </w:r>
    </w:p>
    <w:p>
      <w:pPr>
        <w:jc w:val="both"/>
      </w:pPr>
      <w:r>
        <w:rPr>
          <w:sz w:val="21"/>
        </w:rPr>
        <w:t>1</w:t>
      </w:r>
      <w:r>
        <w:rPr>
          <w:sz w:val="21"/>
        </w:rPr>
        <w:t>、甲方按</w:t>
      </w:r>
      <w:r>
        <w:rPr>
          <w:sz w:val="21"/>
        </w:rPr>
        <w:t>考核</w:t>
      </w:r>
      <w:r>
        <w:rPr>
          <w:sz w:val="21"/>
        </w:rPr>
        <w:t>标准</w:t>
      </w:r>
      <w:r>
        <w:rPr>
          <w:sz w:val="21"/>
        </w:rPr>
        <w:t>及乙方每月提供的工作小结</w:t>
      </w:r>
      <w:r>
        <w:rPr>
          <w:sz w:val="21"/>
        </w:rPr>
        <w:t>每</w:t>
      </w:r>
      <w:r>
        <w:rPr>
          <w:sz w:val="21"/>
        </w:rPr>
        <w:t>月</w:t>
      </w:r>
      <w:r>
        <w:rPr>
          <w:sz w:val="21"/>
        </w:rPr>
        <w:t>度对乙方进行考核，按照每</w:t>
      </w:r>
      <w:r>
        <w:rPr>
          <w:sz w:val="21"/>
        </w:rPr>
        <w:t>月</w:t>
      </w:r>
      <w:r>
        <w:rPr>
          <w:sz w:val="21"/>
        </w:rPr>
        <w:t>度考评分数给与相应的费用，按</w:t>
      </w:r>
      <w:r>
        <w:rPr>
          <w:sz w:val="21"/>
        </w:rPr>
        <w:t>月</w:t>
      </w:r>
      <w:r>
        <w:rPr>
          <w:sz w:val="21"/>
        </w:rPr>
        <w:t>度进行结算支付。</w:t>
      </w:r>
      <w:r>
        <w:rPr>
          <w:sz w:val="21"/>
        </w:rPr>
        <w:t>月</w:t>
      </w:r>
      <w:r>
        <w:rPr>
          <w:sz w:val="21"/>
        </w:rPr>
        <w:t>度考评得分满分为</w:t>
      </w:r>
      <w:r>
        <w:rPr>
          <w:sz w:val="21"/>
        </w:rPr>
        <w:t>100</w:t>
      </w:r>
      <w:r>
        <w:rPr>
          <w:sz w:val="21"/>
        </w:rPr>
        <w:t>分，</w:t>
      </w:r>
      <w:r>
        <w:rPr>
          <w:sz w:val="21"/>
        </w:rPr>
        <w:t>90</w:t>
      </w:r>
      <w:r>
        <w:rPr>
          <w:sz w:val="21"/>
        </w:rPr>
        <w:t>分以上（含</w:t>
      </w:r>
      <w:r>
        <w:rPr>
          <w:sz w:val="21"/>
        </w:rPr>
        <w:t>90</w:t>
      </w:r>
      <w:r>
        <w:rPr>
          <w:sz w:val="21"/>
        </w:rPr>
        <w:t>分）为验收合格。具体情况如下：</w:t>
      </w:r>
    </w:p>
    <w:p>
      <w:pPr>
        <w:jc w:val="both"/>
      </w:pPr>
      <w:r>
        <w:rPr>
          <w:sz w:val="21"/>
        </w:rPr>
        <w:t>（</w:t>
      </w:r>
      <w:r>
        <w:rPr>
          <w:sz w:val="21"/>
        </w:rPr>
        <w:t>1</w:t>
      </w:r>
      <w:r>
        <w:rPr>
          <w:sz w:val="21"/>
        </w:rPr>
        <w:t>）当</w:t>
      </w:r>
      <w:r>
        <w:rPr>
          <w:sz w:val="21"/>
        </w:rPr>
        <w:t>月</w:t>
      </w:r>
      <w:r>
        <w:rPr>
          <w:sz w:val="21"/>
        </w:rPr>
        <w:t>度考评分数在</w:t>
      </w:r>
      <w:r>
        <w:rPr>
          <w:sz w:val="21"/>
        </w:rPr>
        <w:t>90</w:t>
      </w:r>
      <w:r>
        <w:rPr>
          <w:sz w:val="21"/>
        </w:rPr>
        <w:t>分以上（含</w:t>
      </w:r>
      <w:r>
        <w:rPr>
          <w:sz w:val="21"/>
        </w:rPr>
        <w:t>90</w:t>
      </w:r>
      <w:r>
        <w:rPr>
          <w:sz w:val="21"/>
        </w:rPr>
        <w:t>分）为</w:t>
      </w:r>
      <w:r>
        <w:rPr>
          <w:sz w:val="21"/>
        </w:rPr>
        <w:t>月</w:t>
      </w:r>
      <w:r>
        <w:rPr>
          <w:sz w:val="21"/>
        </w:rPr>
        <w:t>度验收合格，甲方则按照合同中</w:t>
      </w:r>
      <w:r>
        <w:rPr>
          <w:sz w:val="21"/>
        </w:rPr>
        <w:t>“费用的结算及支付”的规定支付乙方当</w:t>
      </w:r>
      <w:r>
        <w:rPr>
          <w:sz w:val="21"/>
        </w:rPr>
        <w:t>月</w:t>
      </w:r>
      <w:r>
        <w:rPr>
          <w:sz w:val="21"/>
        </w:rPr>
        <w:t>度服务费；</w:t>
      </w:r>
    </w:p>
    <w:p>
      <w:pPr>
        <w:jc w:val="both"/>
      </w:pPr>
      <w:r>
        <w:rPr>
          <w:sz w:val="21"/>
        </w:rPr>
        <w:t>（</w:t>
      </w:r>
      <w:r>
        <w:rPr>
          <w:sz w:val="21"/>
        </w:rPr>
        <w:t>2</w:t>
      </w:r>
      <w:r>
        <w:rPr>
          <w:sz w:val="21"/>
        </w:rPr>
        <w:t>）当</w:t>
      </w:r>
      <w:r>
        <w:rPr>
          <w:sz w:val="21"/>
        </w:rPr>
        <w:t>月</w:t>
      </w:r>
      <w:r>
        <w:rPr>
          <w:sz w:val="21"/>
        </w:rPr>
        <w:t>度考评分数在</w:t>
      </w:r>
      <w:r>
        <w:rPr>
          <w:sz w:val="21"/>
        </w:rPr>
        <w:t>80</w:t>
      </w:r>
      <w:r>
        <w:rPr>
          <w:sz w:val="21"/>
        </w:rPr>
        <w:t>分以上（含</w:t>
      </w:r>
      <w:r>
        <w:rPr>
          <w:sz w:val="21"/>
        </w:rPr>
        <w:t>80</w:t>
      </w:r>
      <w:r>
        <w:rPr>
          <w:sz w:val="21"/>
        </w:rPr>
        <w:t>分）</w:t>
      </w:r>
      <w:r>
        <w:rPr>
          <w:sz w:val="21"/>
        </w:rPr>
        <w:t>90</w:t>
      </w:r>
      <w:r>
        <w:rPr>
          <w:sz w:val="21"/>
        </w:rPr>
        <w:t>分以下，甲方则按当</w:t>
      </w:r>
      <w:r>
        <w:rPr>
          <w:sz w:val="21"/>
        </w:rPr>
        <w:t>月</w:t>
      </w:r>
      <w:r>
        <w:rPr>
          <w:sz w:val="21"/>
        </w:rPr>
        <w:t>度费用的</w:t>
      </w:r>
      <w:r>
        <w:rPr>
          <w:sz w:val="21"/>
        </w:rPr>
        <w:t>9</w:t>
      </w:r>
      <w:r>
        <w:rPr>
          <w:sz w:val="21"/>
        </w:rPr>
        <w:t>7</w:t>
      </w:r>
      <w:r>
        <w:rPr>
          <w:sz w:val="21"/>
        </w:rPr>
        <w:t>%</w:t>
      </w:r>
      <w:r>
        <w:rPr>
          <w:sz w:val="21"/>
        </w:rPr>
        <w:t>结算；</w:t>
      </w:r>
    </w:p>
    <w:p>
      <w:pPr>
        <w:jc w:val="both"/>
      </w:pPr>
      <w:r>
        <w:rPr>
          <w:sz w:val="21"/>
        </w:rPr>
        <w:t>（</w:t>
      </w:r>
      <w:r>
        <w:rPr>
          <w:sz w:val="21"/>
        </w:rPr>
        <w:t>3</w:t>
      </w:r>
      <w:r>
        <w:rPr>
          <w:sz w:val="21"/>
        </w:rPr>
        <w:t>）当</w:t>
      </w:r>
      <w:r>
        <w:rPr>
          <w:sz w:val="21"/>
        </w:rPr>
        <w:t>月</w:t>
      </w:r>
      <w:r>
        <w:rPr>
          <w:sz w:val="21"/>
        </w:rPr>
        <w:t>度考评分数低于</w:t>
      </w:r>
      <w:r>
        <w:rPr>
          <w:sz w:val="21"/>
        </w:rPr>
        <w:t>80</w:t>
      </w:r>
      <w:r>
        <w:rPr>
          <w:sz w:val="21"/>
        </w:rPr>
        <w:t>分，甲方则按当</w:t>
      </w:r>
      <w:r>
        <w:rPr>
          <w:sz w:val="21"/>
        </w:rPr>
        <w:t>月</w:t>
      </w:r>
      <w:r>
        <w:rPr>
          <w:sz w:val="21"/>
        </w:rPr>
        <w:t>度费用的</w:t>
      </w:r>
      <w:r>
        <w:rPr>
          <w:sz w:val="21"/>
        </w:rPr>
        <w:t>95</w:t>
      </w:r>
      <w:r>
        <w:rPr>
          <w:sz w:val="21"/>
        </w:rPr>
        <w:t>%</w:t>
      </w:r>
      <w:r>
        <w:rPr>
          <w:sz w:val="21"/>
        </w:rPr>
        <w:t>结算。</w:t>
      </w:r>
    </w:p>
    <w:p>
      <w:pPr>
        <w:jc w:val="both"/>
      </w:pPr>
      <w:r>
        <w:rPr>
          <w:sz w:val="21"/>
        </w:rPr>
        <w:t>2</w:t>
      </w:r>
      <w:r>
        <w:rPr>
          <w:sz w:val="21"/>
        </w:rPr>
        <w:t>、乙方每个</w:t>
      </w:r>
      <w:r>
        <w:rPr>
          <w:sz w:val="21"/>
        </w:rPr>
        <w:t>年</w:t>
      </w:r>
      <w:r>
        <w:rPr>
          <w:sz w:val="21"/>
        </w:rPr>
        <w:t>度末的最后一个月须提供符合甲方要求的当</w:t>
      </w:r>
      <w:r>
        <w:rPr>
          <w:sz w:val="21"/>
        </w:rPr>
        <w:t>年</w:t>
      </w:r>
      <w:r>
        <w:rPr>
          <w:sz w:val="21"/>
        </w:rPr>
        <w:t>度的总结报告。</w:t>
      </w:r>
    </w:p>
    <w:p>
      <w:pPr>
        <w:jc w:val="both"/>
      </w:pPr>
      <w:r>
        <w:rPr>
          <w:sz w:val="21"/>
        </w:rPr>
        <w:t>3</w:t>
      </w:r>
      <w:r>
        <w:rPr>
          <w:sz w:val="21"/>
        </w:rPr>
        <w:t>、考核标准：（详见附件）</w:t>
      </w:r>
    </w:p>
    <w:p>
      <w:pPr>
        <w:jc w:val="both"/>
      </w:pPr>
      <w:r>
        <w:rPr>
          <w:sz w:val="21"/>
        </w:rPr>
        <w:t>八、双方权利和义务</w:t>
      </w:r>
    </w:p>
    <w:p>
      <w:pPr>
        <w:jc w:val="both"/>
      </w:pPr>
      <w:r>
        <w:rPr>
          <w:sz w:val="21"/>
        </w:rPr>
        <w:t>1</w:t>
      </w:r>
      <w:r>
        <w:rPr>
          <w:sz w:val="21"/>
        </w:rPr>
        <w:t>、甲方有权监督乙方履行该协议的情况，如发现有不符本协议约定的，有权要求乙方限期整改。</w:t>
      </w:r>
    </w:p>
    <w:p>
      <w:pPr>
        <w:jc w:val="both"/>
      </w:pPr>
      <w:r>
        <w:rPr>
          <w:sz w:val="21"/>
        </w:rPr>
        <w:t>2</w:t>
      </w:r>
      <w:r>
        <w:rPr>
          <w:sz w:val="21"/>
        </w:rPr>
        <w:t>、甲方有权要求乙方随时就该协议项下的服务情况向甲方进行汇报，乙方不得有任何隐瞒。</w:t>
      </w:r>
    </w:p>
    <w:p>
      <w:pPr>
        <w:jc w:val="both"/>
      </w:pPr>
      <w:r>
        <w:rPr>
          <w:sz w:val="21"/>
        </w:rPr>
        <w:t>3</w:t>
      </w:r>
      <w:r>
        <w:rPr>
          <w:sz w:val="21"/>
        </w:rPr>
        <w:t>、乙方未按要求提供服务或项目服务考核不合格且整改后还是不合格的，甲方有权终止合同，乙方应当配合办理交接手续并赔偿甲方的相关损失。</w:t>
      </w:r>
    </w:p>
    <w:p>
      <w:pPr>
        <w:jc w:val="both"/>
      </w:pPr>
      <w:r>
        <w:rPr>
          <w:sz w:val="21"/>
        </w:rPr>
        <w:t>4</w:t>
      </w:r>
      <w:r>
        <w:rPr>
          <w:sz w:val="21"/>
        </w:rPr>
        <w:t>、甲方应按服务合同约定向乙方支付本合同约定的费用。</w:t>
      </w:r>
    </w:p>
    <w:p>
      <w:pPr>
        <w:jc w:val="both"/>
      </w:pPr>
      <w:r>
        <w:rPr>
          <w:sz w:val="21"/>
        </w:rPr>
        <w:t>5</w:t>
      </w:r>
      <w:r>
        <w:rPr>
          <w:sz w:val="21"/>
        </w:rPr>
        <w:t>、乙方需要为甲方提供常设的投诉热线服务，并对投诉内容进行及时跟踪、回访。需要按甲方相关规定严格执行。</w:t>
      </w:r>
    </w:p>
    <w:p>
      <w:pPr>
        <w:jc w:val="both"/>
      </w:pPr>
      <w:r>
        <w:rPr>
          <w:sz w:val="21"/>
        </w:rPr>
        <w:t>6</w:t>
      </w:r>
      <w:r>
        <w:rPr>
          <w:sz w:val="21"/>
        </w:rPr>
        <w:t>、在服务期内，乙方应对管理模式进行改进，向甲方提供更优的管理服务，但对于更改或优化的内容，需要得到甲方的认可方能执行。</w:t>
      </w:r>
    </w:p>
    <w:p>
      <w:pPr>
        <w:jc w:val="both"/>
      </w:pPr>
      <w:r>
        <w:rPr>
          <w:sz w:val="21"/>
        </w:rPr>
        <w:t>7</w:t>
      </w:r>
      <w:r>
        <w:rPr>
          <w:sz w:val="21"/>
        </w:rPr>
        <w:t>、乙方须主动接受甲方的指导、检查、监督及协调，同意按照甲方考核办法对服务质量进行考核。</w:t>
      </w:r>
    </w:p>
    <w:p>
      <w:pPr>
        <w:jc w:val="both"/>
      </w:pPr>
      <w:r>
        <w:rPr>
          <w:sz w:val="21"/>
        </w:rPr>
        <w:t>8</w:t>
      </w:r>
      <w:r>
        <w:rPr>
          <w:sz w:val="21"/>
        </w:rPr>
        <w:t>、乙方派驻甲方的工作人员的劳动关系属乙方，其一切劳动关系、工资福利、社会保险、住房公积金、代扣代缴个人所得税等均由乙方与其发生关系。</w:t>
      </w:r>
    </w:p>
    <w:p>
      <w:pPr>
        <w:jc w:val="both"/>
      </w:pPr>
      <w:r>
        <w:rPr>
          <w:sz w:val="21"/>
        </w:rPr>
        <w:t>9</w:t>
      </w:r>
      <w:r>
        <w:rPr>
          <w:sz w:val="21"/>
        </w:rPr>
        <w:t>、乙方的工作人员应参加过岗前培训和在岗业务培训，如有需要，乙方应派人员参加甲方组织的相关业务培训。</w:t>
      </w:r>
    </w:p>
    <w:p>
      <w:pPr>
        <w:jc w:val="both"/>
      </w:pPr>
      <w:r>
        <w:rPr>
          <w:sz w:val="21"/>
        </w:rPr>
        <w:t>10</w:t>
      </w:r>
      <w:r>
        <w:rPr>
          <w:sz w:val="21"/>
        </w:rPr>
        <w:t>、在服务期间，如甲方需要乙方在服务现场提供现场服务的，要求乙方接到服务通知后</w:t>
      </w:r>
      <w:r>
        <w:rPr>
          <w:sz w:val="21"/>
        </w:rPr>
        <w:t>1</w:t>
      </w:r>
      <w:r>
        <w:rPr>
          <w:sz w:val="21"/>
        </w:rPr>
        <w:t>小时内电话响应，在</w:t>
      </w:r>
      <w:r>
        <w:rPr>
          <w:sz w:val="21"/>
        </w:rPr>
        <w:t>2</w:t>
      </w:r>
      <w:r>
        <w:rPr>
          <w:sz w:val="21"/>
        </w:rPr>
        <w:t>小时内派专职人员赶到现场并到达现场处理问题。</w:t>
      </w:r>
    </w:p>
    <w:p>
      <w:pPr>
        <w:jc w:val="both"/>
      </w:pPr>
      <w:r>
        <w:rPr>
          <w:sz w:val="21"/>
        </w:rPr>
        <w:t>11</w:t>
      </w:r>
      <w:r>
        <w:rPr>
          <w:sz w:val="21"/>
        </w:rPr>
        <w:t>、服务期满后，乙方应妥善处理退场移交、人员安置。</w:t>
      </w:r>
    </w:p>
    <w:p>
      <w:pPr>
        <w:jc w:val="both"/>
      </w:pPr>
      <w:r>
        <w:rPr>
          <w:sz w:val="21"/>
        </w:rPr>
        <w:t>九、保密</w:t>
      </w:r>
    </w:p>
    <w:p>
      <w:pPr>
        <w:jc w:val="both"/>
      </w:pPr>
      <w:r>
        <w:rPr>
          <w:sz w:val="21"/>
        </w:rPr>
        <w:t>未经甲方书面同意，乙方及派驻到采购人工作的服务人员对甲方的有关信息、数据和资料、财物负有严格保密、保护的责任。</w:t>
      </w:r>
    </w:p>
    <w:p>
      <w:pPr>
        <w:jc w:val="both"/>
      </w:pPr>
      <w:r>
        <w:rPr>
          <w:sz w:val="21"/>
        </w:rPr>
        <w:t>十、服务费标准和支付方式</w:t>
      </w:r>
    </w:p>
    <w:p>
      <w:pPr>
        <w:jc w:val="both"/>
      </w:pPr>
      <w:r>
        <w:rPr>
          <w:sz w:val="21"/>
        </w:rPr>
        <w:t>1</w:t>
      </w:r>
      <w:r>
        <w:rPr>
          <w:sz w:val="21"/>
        </w:rPr>
        <w:t>、</w:t>
      </w:r>
      <w:r>
        <w:rPr>
          <w:sz w:val="21"/>
        </w:rPr>
        <w:t>按月度结算，</w:t>
      </w:r>
      <w:r>
        <w:rPr>
          <w:sz w:val="21"/>
        </w:rPr>
        <w:t>乙方</w:t>
      </w:r>
      <w:r>
        <w:rPr>
          <w:sz w:val="21"/>
        </w:rPr>
        <w:t>于每月</w:t>
      </w:r>
      <w:r>
        <w:rPr>
          <w:sz w:val="21"/>
          <w:u w:val="single"/>
        </w:rPr>
        <w:t xml:space="preserve">  </w:t>
      </w:r>
      <w:r>
        <w:rPr>
          <w:sz w:val="21"/>
          <w:u w:val="single"/>
        </w:rPr>
        <w:t xml:space="preserve">5  </w:t>
      </w:r>
      <w:r>
        <w:rPr>
          <w:sz w:val="21"/>
        </w:rPr>
        <w:t>日前将上月</w:t>
      </w:r>
      <w:r>
        <w:rPr>
          <w:sz w:val="21"/>
        </w:rPr>
        <w:t>服务</w:t>
      </w:r>
      <w:r>
        <w:rPr>
          <w:sz w:val="21"/>
        </w:rPr>
        <w:t>总费用的等额发票送达</w:t>
      </w:r>
      <w:r>
        <w:rPr>
          <w:sz w:val="21"/>
        </w:rPr>
        <w:t>甲方</w:t>
      </w:r>
      <w:r>
        <w:rPr>
          <w:sz w:val="21"/>
        </w:rPr>
        <w:t>，经</w:t>
      </w:r>
      <w:r>
        <w:rPr>
          <w:sz w:val="21"/>
        </w:rPr>
        <w:t>甲方</w:t>
      </w:r>
      <w:r>
        <w:rPr>
          <w:sz w:val="21"/>
        </w:rPr>
        <w:t>核实无误后，</w:t>
      </w:r>
      <w:r>
        <w:rPr>
          <w:sz w:val="21"/>
        </w:rPr>
        <w:t>甲方</w:t>
      </w:r>
      <w:r>
        <w:rPr>
          <w:sz w:val="21"/>
        </w:rPr>
        <w:t>于每月的</w:t>
      </w:r>
      <w:r>
        <w:rPr>
          <w:sz w:val="21"/>
          <w:u w:val="single"/>
        </w:rPr>
        <w:t xml:space="preserve">  </w:t>
      </w:r>
      <w:r>
        <w:rPr>
          <w:sz w:val="21"/>
          <w:u w:val="single"/>
        </w:rPr>
        <w:t xml:space="preserve">10  </w:t>
      </w:r>
      <w:r>
        <w:rPr>
          <w:sz w:val="21"/>
        </w:rPr>
        <w:t>日前将上月总费用汇到中标人的帐户</w:t>
      </w:r>
      <w:r>
        <w:rPr>
          <w:sz w:val="21"/>
        </w:rPr>
        <w:t>。</w:t>
      </w:r>
    </w:p>
    <w:p>
      <w:pPr>
        <w:jc w:val="both"/>
      </w:pPr>
      <w:r>
        <w:rPr>
          <w:sz w:val="21"/>
        </w:rPr>
        <w:t>2</w:t>
      </w:r>
      <w:r>
        <w:rPr>
          <w:sz w:val="21"/>
        </w:rPr>
        <w:t>、因甲方使用的是财政资金，甲方在前款规定的付款时间为向财政部门提出办理财政支付申请手续的时间（不含政府财政支付部门审核的 时间），在规定时间内提出支付申请手续后即视为甲方已经按期支付。</w:t>
      </w:r>
    </w:p>
    <w:p>
      <w:pPr>
        <w:jc w:val="both"/>
      </w:pPr>
      <w:r>
        <w:rPr>
          <w:sz w:val="21"/>
        </w:rPr>
        <w:t>十一、违约责任</w:t>
      </w:r>
    </w:p>
    <w:p>
      <w:pPr>
        <w:jc w:val="both"/>
      </w:pPr>
      <w:r>
        <w:rPr>
          <w:sz w:val="21"/>
        </w:rPr>
        <w:t>1</w:t>
      </w:r>
      <w:r>
        <w:rPr>
          <w:sz w:val="21"/>
        </w:rPr>
        <w:t>、乙方提供的服务不符合规定的，或未按约定履行义务的，视为乙方违约，乙方每次须向甲方支付本合同总价（即：甲方在服务期限内累计已向乙方支付的服务费用总额，下同）</w:t>
      </w:r>
      <w:r>
        <w:rPr>
          <w:sz w:val="21"/>
        </w:rPr>
        <w:t>5</w:t>
      </w:r>
      <w:r>
        <w:rPr>
          <w:sz w:val="21"/>
        </w:rPr>
        <w:t>‰</w:t>
      </w:r>
      <w:r>
        <w:rPr>
          <w:sz w:val="21"/>
        </w:rPr>
        <w:t>的违约金。服务期内，乙方累计出现</w:t>
      </w:r>
      <w:r>
        <w:rPr>
          <w:sz w:val="21"/>
        </w:rPr>
        <w:t>2</w:t>
      </w:r>
      <w:r>
        <w:rPr>
          <w:sz w:val="21"/>
        </w:rPr>
        <w:t>次违约行为的，甲方有权解除合同并要求乙方承担甲方因此受到的损失。</w:t>
      </w:r>
    </w:p>
    <w:p>
      <w:pPr>
        <w:jc w:val="both"/>
      </w:pPr>
      <w:r>
        <w:rPr>
          <w:sz w:val="21"/>
        </w:rPr>
        <w:t>2</w:t>
      </w:r>
      <w:r>
        <w:rPr>
          <w:sz w:val="21"/>
        </w:rPr>
        <w:t>、乙方未能按合同规定的时间提供服务，从逾期之日起每日按合同总价</w:t>
      </w:r>
      <w:r>
        <w:rPr>
          <w:sz w:val="21"/>
        </w:rPr>
        <w:t>3</w:t>
      </w:r>
      <w:r>
        <w:rPr>
          <w:sz w:val="21"/>
        </w:rPr>
        <w:t>‰</w:t>
      </w:r>
      <w:r>
        <w:rPr>
          <w:sz w:val="21"/>
        </w:rPr>
        <w:t>的数额向甲方支付违约金；逾期半个月以上的，甲方有权终止合同，由此造成的甲方经济损失由乙方承担。</w:t>
      </w:r>
    </w:p>
    <w:p>
      <w:pPr>
        <w:jc w:val="both"/>
      </w:pPr>
      <w:r>
        <w:rPr>
          <w:sz w:val="21"/>
        </w:rPr>
        <w:t>3</w:t>
      </w:r>
      <w:r>
        <w:rPr>
          <w:sz w:val="21"/>
        </w:rPr>
        <w:t>、甲方无正当理由拒收接受服务，到期非因服务费用金额有误等乙方原因拒付服务款项的，甲方向乙方偿付合同总价的</w:t>
      </w:r>
      <w:r>
        <w:rPr>
          <w:sz w:val="21"/>
        </w:rPr>
        <w:t>5</w:t>
      </w:r>
      <w:r>
        <w:rPr>
          <w:sz w:val="21"/>
        </w:rPr>
        <w:t>‰</w:t>
      </w:r>
      <w:r>
        <w:rPr>
          <w:sz w:val="21"/>
        </w:rPr>
        <w:t>的违约金。</w:t>
      </w:r>
    </w:p>
    <w:p>
      <w:pPr>
        <w:jc w:val="both"/>
      </w:pPr>
      <w:r>
        <w:rPr>
          <w:sz w:val="21"/>
        </w:rPr>
        <w:t>4</w:t>
      </w:r>
      <w:r>
        <w:rPr>
          <w:sz w:val="21"/>
        </w:rPr>
        <w:t>、其他违约责任按《中华人民共和国民法典》处理。</w:t>
      </w:r>
    </w:p>
    <w:p>
      <w:pPr>
        <w:jc w:val="both"/>
      </w:pPr>
      <w:r>
        <w:rPr>
          <w:sz w:val="21"/>
        </w:rPr>
        <w:t>十二、争端的解决</w:t>
      </w:r>
    </w:p>
    <w:p>
      <w:pPr>
        <w:jc w:val="both"/>
      </w:pPr>
      <w:r>
        <w:rPr>
          <w:sz w:val="21"/>
        </w:rPr>
        <w:t>合同执行过程中发生的任何争议，双方应先友好协商解决，若双方不能通过友好协商解决的，任何一方可向甲方所在地人民法院提起诉讼。败诉方应承担对方因此而支出的诉讼费、律师费等费用。</w:t>
      </w:r>
    </w:p>
    <w:p>
      <w:pPr>
        <w:jc w:val="both"/>
      </w:pPr>
      <w:r>
        <w:rPr>
          <w:sz w:val="21"/>
        </w:rPr>
        <w:t>十三、不可抗力：</w:t>
      </w:r>
    </w:p>
    <w:p>
      <w:pPr>
        <w:jc w:val="both"/>
      </w:pPr>
      <w:r>
        <w:rPr>
          <w:sz w:val="21"/>
        </w:rPr>
        <w:t>任何一方由于不可抗力原因不能履行协议时，应在不可抗力时间结束后</w:t>
      </w:r>
      <w:r>
        <w:rPr>
          <w:sz w:val="21"/>
        </w:rPr>
        <w:t>1</w:t>
      </w:r>
      <w:r>
        <w:rPr>
          <w:sz w:val="21"/>
        </w:rPr>
        <w:t>日内向对方通报，以减轻可能给对方造成的损失，在取得有关机构 的不可抗力证明或双方谅解确认后，允许延期履行或修订协议，并根据情况可部分或全部免于承担违约责任。</w:t>
      </w:r>
    </w:p>
    <w:p>
      <w:pPr>
        <w:jc w:val="both"/>
      </w:pPr>
      <w:r>
        <w:rPr>
          <w:sz w:val="21"/>
        </w:rPr>
        <w:t>十四、合同终止</w:t>
      </w:r>
    </w:p>
    <w:p>
      <w:pPr>
        <w:jc w:val="both"/>
      </w:pPr>
      <w:r>
        <w:rPr>
          <w:sz w:val="21"/>
        </w:rPr>
        <w:t>1.</w:t>
      </w:r>
      <w:r>
        <w:rPr>
          <w:sz w:val="21"/>
        </w:rPr>
        <w:t>本合同期满、双方不再续约、或者双方协商同意终止、或者因一方违约而提前解除协议，则本合同终止。</w:t>
      </w:r>
    </w:p>
    <w:p>
      <w:pPr>
        <w:jc w:val="both"/>
      </w:pPr>
      <w:r>
        <w:rPr>
          <w:sz w:val="21"/>
        </w:rPr>
        <w:t>2.</w:t>
      </w:r>
      <w:r>
        <w:rPr>
          <w:sz w:val="21"/>
        </w:rPr>
        <w:t>合同终止后，乙方应自合同终止之日起的</w:t>
      </w:r>
      <w:r>
        <w:rPr>
          <w:sz w:val="21"/>
        </w:rPr>
        <w:t>3</w:t>
      </w:r>
      <w:r>
        <w:rPr>
          <w:sz w:val="21"/>
        </w:rPr>
        <w:t>天内及时交还甲方的工作物品等，清理乙方物品，搬离甲方场所。</w:t>
      </w:r>
    </w:p>
    <w:p>
      <w:pPr>
        <w:jc w:val="both"/>
      </w:pPr>
      <w:r>
        <w:rPr>
          <w:sz w:val="21"/>
        </w:rPr>
        <w:t>十五、附则</w:t>
      </w:r>
    </w:p>
    <w:p>
      <w:pPr>
        <w:jc w:val="both"/>
      </w:pPr>
      <w:r>
        <w:rPr>
          <w:sz w:val="21"/>
        </w:rPr>
        <w:t>1.</w:t>
      </w:r>
      <w:r>
        <w:rPr>
          <w:sz w:val="21"/>
        </w:rPr>
        <w:t>本合同所有附件均为合同的有效组成部分，与本合同具有同等法律效力。双方约定本合同与附件之间的内容是互为补充和解释关系，若合同与附件存在不一致，以时间在后的文件为准。</w:t>
      </w:r>
    </w:p>
    <w:p>
      <w:pPr>
        <w:jc w:val="both"/>
      </w:pPr>
      <w:r>
        <w:rPr>
          <w:sz w:val="21"/>
        </w:rPr>
        <w:t>2.</w:t>
      </w:r>
      <w:r>
        <w:rPr>
          <w:sz w:val="21"/>
        </w:rPr>
        <w:t>合同期内，甲乙任何一方，因客观原因需要提前解除合同，必须提前一个月内书面通知对方，并取得对方同意方可解除合同，否则按一个月劳务管理服务费总额赔偿给对方。</w:t>
      </w:r>
    </w:p>
    <w:p>
      <w:pPr>
        <w:jc w:val="both"/>
      </w:pPr>
      <w:r>
        <w:rPr>
          <w:sz w:val="21"/>
        </w:rPr>
        <w:t>3.</w:t>
      </w:r>
      <w:r>
        <w:rPr>
          <w:sz w:val="21"/>
        </w:rPr>
        <w:t>本合同存续期间发生的所涉及到甲乙双方各自应承担权利和义务延续到本合同终止后的事项，仍受本合同规定的约束，未经对方同意，任何一方不得将本协议部分或全部权利和义务转让给第三方。</w:t>
      </w:r>
    </w:p>
    <w:p>
      <w:pPr>
        <w:jc w:val="both"/>
      </w:pPr>
      <w:r>
        <w:rPr>
          <w:sz w:val="21"/>
        </w:rPr>
        <w:t>4.</w:t>
      </w:r>
      <w:r>
        <w:rPr>
          <w:sz w:val="21"/>
        </w:rPr>
        <w:t>本合同中涉及的所有“通知”、“同意”、“确认”等事项均应以书面形式做出，并作为联络依据。</w:t>
      </w:r>
    </w:p>
    <w:p>
      <w:pPr>
        <w:jc w:val="both"/>
      </w:pPr>
      <w:r>
        <w:rPr>
          <w:sz w:val="21"/>
        </w:rPr>
        <w:t>5.</w:t>
      </w:r>
      <w:r>
        <w:rPr>
          <w:sz w:val="21"/>
        </w:rPr>
        <w:t>本合同未尽事宜，双方另行协商并签署补充协议，作为本合同的附件，具有同等法律效力。</w:t>
      </w:r>
    </w:p>
    <w:p>
      <w:pPr>
        <w:jc w:val="both"/>
      </w:pPr>
      <w:r>
        <w:rPr>
          <w:sz w:val="21"/>
        </w:rPr>
        <w:t>6.</w:t>
      </w:r>
      <w:r>
        <w:rPr>
          <w:sz w:val="21"/>
        </w:rPr>
        <w:t>本合同经甲乙双方签字盖章后生效，本合同一式陆份，甲乙双方各执两份，政府采购监管部门一份，采购代理机构一份。</w:t>
      </w:r>
    </w:p>
    <w:p>
      <w:pPr>
        <w:jc w:val="both"/>
      </w:pPr>
      <w:r>
        <w:rPr>
          <w:sz w:val="21"/>
        </w:rPr>
        <w:t>合同附件（合同编号</w:t>
      </w:r>
      <w:r>
        <w:rPr>
          <w:sz w:val="21"/>
        </w:rPr>
        <w:t>）</w:t>
      </w:r>
    </w:p>
    <w:p>
      <w:pPr>
        <w:jc w:val="both"/>
      </w:pPr>
      <w:r>
        <w:rPr>
          <w:sz w:val="21"/>
        </w:rPr>
        <w:t>附件一：磋商文件</w:t>
      </w:r>
    </w:p>
    <w:p>
      <w:pPr>
        <w:jc w:val="both"/>
      </w:pPr>
      <w:r>
        <w:rPr>
          <w:sz w:val="21"/>
        </w:rPr>
        <w:t>附件二：响应文件</w:t>
      </w:r>
    </w:p>
    <w:p>
      <w:pPr>
        <w:jc w:val="both"/>
      </w:pPr>
      <w:r>
        <w:rPr>
          <w:sz w:val="21"/>
        </w:rPr>
        <w:t>附件三：成交通知书</w:t>
      </w:r>
    </w:p>
    <w:p>
      <w:pPr>
        <w:jc w:val="both"/>
      </w:pPr>
      <w:r>
        <w:rPr>
          <w:sz w:val="21"/>
        </w:rPr>
        <w:t>附件四：考核标准</w:t>
      </w:r>
    </w:p>
    <w:p>
      <w:pPr>
        <w:jc w:val="both"/>
      </w:pPr>
      <w:r>
        <w:rPr>
          <w:sz w:val="21"/>
        </w:rPr>
        <w:t>甲方（盖章）：</w:t>
      </w:r>
      <w:r>
        <w:rPr>
          <w:sz w:val="21"/>
        </w:rPr>
        <w:t xml:space="preserve">                    </w:t>
      </w:r>
      <w:r>
        <w:rPr>
          <w:sz w:val="21"/>
        </w:rPr>
        <w:t>乙方（盖章）：</w:t>
      </w:r>
    </w:p>
    <w:p>
      <w:pPr>
        <w:jc w:val="both"/>
      </w:pPr>
    </w:p>
    <w:p>
      <w:pPr>
        <w:jc w:val="both"/>
      </w:pPr>
      <w:r>
        <w:rPr>
          <w:sz w:val="21"/>
        </w:rPr>
        <w:t>甲方法定代表（签字）：</w:t>
      </w:r>
      <w:r>
        <w:rPr>
          <w:sz w:val="21"/>
        </w:rPr>
        <w:t xml:space="preserve">    </w:t>
      </w:r>
      <w:r>
        <w:rPr>
          <w:sz w:val="21"/>
        </w:rPr>
        <w:t>乙方法定代表（签字）：</w:t>
      </w:r>
    </w:p>
    <w:p>
      <w:pPr>
        <w:jc w:val="both"/>
      </w:pPr>
      <w:r>
        <w:rPr>
          <w:sz w:val="21"/>
        </w:rPr>
        <w:t xml:space="preserve"> </w:t>
      </w:r>
      <w:r>
        <w:rPr>
          <w:sz w:val="21"/>
        </w:rPr>
        <w:t>日</w:t>
      </w:r>
      <w:r>
        <w:rPr>
          <w:sz w:val="21"/>
        </w:rPr>
        <w:t xml:space="preserve"> </w:t>
      </w:r>
      <w:r>
        <w:rPr>
          <w:sz w:val="21"/>
        </w:rPr>
        <w:t>期：</w:t>
      </w:r>
      <w:r>
        <w:rPr>
          <w:sz w:val="21"/>
        </w:rPr>
        <w:t xml:space="preserve">                     </w:t>
      </w:r>
      <w:r>
        <w:rPr>
          <w:sz w:val="21"/>
        </w:rPr>
        <w:t>日</w:t>
      </w:r>
      <w:r>
        <w:rPr>
          <w:sz w:val="21"/>
        </w:rPr>
        <w:t>期</w:t>
      </w:r>
      <w:r>
        <w:rPr>
          <w:sz w:val="21"/>
        </w:rPr>
        <w:t>：</w:t>
      </w:r>
    </w:p>
    <w:p>
      <w:pPr>
        <w:jc w:val="both"/>
      </w:pPr>
      <w:r>
        <w:rPr>
          <w:sz w:val="21"/>
        </w:rPr>
        <w:t>地</w:t>
      </w:r>
      <w:r>
        <w:rPr>
          <w:sz w:val="21"/>
        </w:rPr>
        <w:t>址：</w:t>
      </w:r>
      <w:r>
        <w:rPr>
          <w:sz w:val="21"/>
        </w:rPr>
        <w:t xml:space="preserve">                         </w:t>
      </w:r>
      <w:r>
        <w:rPr>
          <w:sz w:val="21"/>
        </w:rPr>
        <w:t>地</w:t>
      </w:r>
      <w:r>
        <w:rPr>
          <w:sz w:val="21"/>
        </w:rPr>
        <w:t>址</w:t>
      </w:r>
      <w:r>
        <w:rPr>
          <w:sz w:val="21"/>
        </w:rPr>
        <w:t>：</w:t>
      </w:r>
    </w:p>
    <w:p>
      <w:pPr>
        <w:jc w:val="both"/>
      </w:pPr>
    </w:p>
    <w:p>
      <w:pPr>
        <w:jc w:val="both"/>
      </w:pPr>
      <w:r>
        <w:rPr>
          <w:sz w:val="21"/>
        </w:rPr>
        <w:t>邮政编码：</w:t>
      </w:r>
      <w:r>
        <w:rPr>
          <w:sz w:val="21"/>
        </w:rPr>
        <w:t xml:space="preserve">                  </w:t>
      </w:r>
      <w:r>
        <w:rPr>
          <w:sz w:val="21"/>
        </w:rPr>
        <w:t>邮政编码：</w:t>
      </w:r>
    </w:p>
    <w:p>
      <w:pPr>
        <w:jc w:val="both"/>
      </w:pPr>
    </w:p>
    <w:p>
      <w:pPr>
        <w:jc w:val="both"/>
      </w:pPr>
      <w:r>
        <w:rPr>
          <w:sz w:val="21"/>
        </w:rPr>
        <w:t>电</w:t>
      </w:r>
      <w:r>
        <w:rPr>
          <w:sz w:val="21"/>
        </w:rPr>
        <w:t>话：</w:t>
      </w:r>
      <w:r>
        <w:rPr>
          <w:sz w:val="21"/>
        </w:rPr>
        <w:t xml:space="preserve">                      </w:t>
      </w:r>
      <w:r>
        <w:rPr>
          <w:sz w:val="21"/>
        </w:rPr>
        <w:t>电</w:t>
      </w:r>
      <w:r>
        <w:rPr>
          <w:sz w:val="21"/>
        </w:rPr>
        <w:t>话</w:t>
      </w:r>
      <w:r>
        <w:rPr>
          <w:sz w:val="21"/>
        </w:rPr>
        <w:t>：</w:t>
      </w:r>
    </w:p>
    <w:p>
      <w:pPr>
        <w:jc w:val="both"/>
      </w:pPr>
    </w:p>
    <w:p>
      <w:pPr>
        <w:jc w:val="both"/>
      </w:pPr>
      <w:r>
        <w:rPr>
          <w:sz w:val="21"/>
        </w:rPr>
        <w:t>传</w:t>
      </w:r>
      <w:r>
        <w:rPr>
          <w:sz w:val="21"/>
        </w:rPr>
        <w:t>真：</w:t>
      </w:r>
      <w:r>
        <w:rPr>
          <w:sz w:val="21"/>
        </w:rPr>
        <w:t xml:space="preserve">                           </w:t>
      </w:r>
      <w:r>
        <w:rPr>
          <w:sz w:val="21"/>
        </w:rPr>
        <w:t>传</w:t>
      </w:r>
      <w:r>
        <w:rPr>
          <w:sz w:val="21"/>
        </w:rPr>
        <w:t>真</w:t>
      </w:r>
      <w:r>
        <w:rPr>
          <w:sz w:val="21"/>
        </w:rPr>
        <w:t>：</w:t>
      </w:r>
    </w:p>
    <w:p>
      <w:pPr>
        <w:jc w:val="both"/>
      </w:pPr>
    </w:p>
    <w:p>
      <w:pPr>
        <w:jc w:val="both"/>
      </w:pPr>
      <w:r>
        <w:rPr>
          <w:sz w:val="21"/>
        </w:rPr>
        <w:t>开户银行：</w:t>
      </w:r>
      <w:r>
        <w:rPr>
          <w:sz w:val="21"/>
        </w:rPr>
        <w:t xml:space="preserve">                   </w:t>
      </w:r>
      <w:r>
        <w:rPr>
          <w:sz w:val="21"/>
        </w:rPr>
        <w:t>开户银行：</w:t>
      </w:r>
    </w:p>
    <w:p>
      <w:pPr>
        <w:jc w:val="both"/>
      </w:pPr>
    </w:p>
    <w:p>
      <w:pPr>
        <w:jc w:val="both"/>
      </w:pPr>
      <w:r>
        <w:rPr>
          <w:sz w:val="21"/>
        </w:rPr>
        <w:t>开户账号：</w:t>
      </w:r>
      <w:r>
        <w:rPr>
          <w:sz w:val="21"/>
        </w:rPr>
        <w:t xml:space="preserve">               </w:t>
      </w:r>
      <w:r>
        <w:rPr>
          <w:sz w:val="21"/>
        </w:rPr>
        <w:t>开户账号：</w:t>
      </w:r>
    </w:p>
    <w:p>
      <w:pPr>
        <w:jc w:val="both"/>
      </w:pPr>
    </w:p>
    <w:p>
      <w:pPr>
        <w:jc w:val="both"/>
      </w:pPr>
    </w:p>
    <w:p>
      <w:pPr>
        <w:jc w:val="both"/>
      </w:pPr>
      <w:r>
        <w:rPr>
          <w:sz w:val="21"/>
        </w:rPr>
        <w:t>注：</w:t>
      </w:r>
      <w:r>
        <w:rPr>
          <w:sz w:val="21"/>
        </w:rPr>
        <w:t>本合同仅为合同的参考文本，合同签订双方可根据项目的具体要求进行修订。</w:t>
      </w:r>
    </w:p>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442000001-2023-00024</w:t>
      </w:r>
    </w:p>
    <w:p>
      <w:pPr>
        <w:jc w:val="center"/>
      </w:pPr>
      <w:r>
        <w:rPr>
          <w:b/>
          <w:sz w:val="24"/>
        </w:rPr>
        <w:t>采购项目编号：</w:t>
      </w:r>
      <w:r>
        <w:rPr>
          <w:b/>
          <w:sz w:val="24"/>
        </w:rPr>
        <w:t>0724-2331ZS580200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国义招标股份有限公司</w:t>
      </w:r>
    </w:p>
    <w:p>
      <w:pPr>
        <w:ind w:firstLine="480"/>
      </w:pPr>
      <w:r>
        <w:rPr/>
        <w:t>你方组织的</w:t>
      </w:r>
      <w:r>
        <w:rPr>
          <w:u w:val="single"/>
        </w:rPr>
        <w:t>“</w:t>
      </w:r>
      <w:r>
        <w:rPr>
          <w:u w:val="single"/>
        </w:rPr>
        <w:t>中山市石岐区税务分局税务服务项目</w:t>
      </w:r>
      <w:r>
        <w:rPr>
          <w:u w:val="single"/>
        </w:rPr>
        <w:t>”</w:t>
      </w:r>
      <w:r>
        <w:rPr/>
        <w:t>项目的竞争性磋商[采购项目编号为：</w:t>
      </w:r>
      <w:r>
        <w:rPr>
          <w:u w:val="single"/>
        </w:rPr>
        <w:t>0724-2331ZS580200</w:t>
      </w:r>
      <w:r>
        <w:rPr/>
        <w:t>]，我方愿参与响应。</w:t>
      </w:r>
    </w:p>
    <w:p>
      <w:pPr>
        <w:ind w:firstLine="480"/>
      </w:pPr>
      <w:r>
        <w:rPr/>
        <w:t>我方确认收到贵方提供的</w:t>
      </w:r>
      <w:r>
        <w:rPr>
          <w:u w:val="single"/>
        </w:rPr>
        <w:t>“</w:t>
      </w:r>
      <w:r>
        <w:rPr>
          <w:u w:val="single"/>
        </w:rPr>
        <w:t>中山市石岐区税务分局税务服务项目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中山市石岐区税务分局税务服务项目</w:t>
      </w:r>
      <w:r>
        <w:rPr/>
        <w:t>”项目采购[采购项目编号为</w:t>
      </w:r>
      <w:r>
        <w:rPr/>
        <w:t>0724-2331ZS580200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中山市石岐街道工业信息和科技商务局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国义招标股份有限公司</w:t>
      </w:r>
    </w:p>
    <w:p>
      <w:pPr>
        <w:ind w:firstLine="480"/>
      </w:pPr>
      <w:r>
        <w:rPr/>
        <w:t>我单位参加贵公司组织的</w:t>
      </w:r>
      <w:r>
        <w:rPr/>
        <w:t>中山市石岐区税务分局税务服务项目</w:t>
      </w:r>
      <w:r>
        <w:rPr/>
        <w:t>（采购项目编号：</w:t>
      </w:r>
      <w:r>
        <w:rPr/>
        <w:t>0724-2331ZS580200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中山市石岐区税务分局税务服务项目</w:t>
      </w:r>
      <w:r>
        <w:rPr/>
        <w:t>”项目（采购项目编号：</w:t>
      </w:r>
      <w:r>
        <w:rPr/>
        <w:t>0724-2331ZS580200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