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Times New Roman" w:hAnsi="Times New Roman" w:eastAsia="仿宋_GB2312" w:cs="Times New Roman"/>
          <w:lang w:eastAsia="zh-CN"/>
        </w:rPr>
      </w:pPr>
      <w:r>
        <w:rPr>
          <w:rFonts w:hint="default" w:ascii="Times New Roman" w:hAnsi="Times New Roman" w:cs="Times New Roman"/>
        </w:rPr>
        <w:t>附件</w:t>
      </w:r>
      <w:r>
        <w:rPr>
          <w:rFonts w:hint="eastAsia" w:ascii="Times New Roman" w:hAnsi="Times New Roman" w:cs="Times New Roman"/>
          <w:lang w:val="en-US" w:eastAsia="zh-CN"/>
        </w:rPr>
        <w:t>2</w:t>
      </w:r>
    </w:p>
    <w:p>
      <w:pPr>
        <w:spacing w:line="560" w:lineRule="exact"/>
        <w:ind w:left="0" w:leftChars="0" w:right="0" w:rightChars="0" w:firstLine="0" w:firstLineChars="0"/>
        <w:jc w:val="center"/>
        <w:rPr>
          <w:rFonts w:hint="default" w:ascii="Times New Roman" w:hAnsi="Times New Roman" w:eastAsia="黑体" w:cs="Times New Roman"/>
        </w:rPr>
      </w:pPr>
      <w:r>
        <w:rPr>
          <w:rFonts w:hint="eastAsia" w:eastAsia="黑体" w:cs="Times New Roman"/>
          <w:lang w:eastAsia="zh-CN"/>
        </w:rPr>
        <w:t>翠亨新区（南朗街道）</w:t>
      </w:r>
      <w:r>
        <w:rPr>
          <w:rFonts w:hint="default" w:ascii="Times New Roman" w:hAnsi="Times New Roman" w:eastAsia="黑体" w:cs="Times New Roman"/>
        </w:rPr>
        <w:t>校内课后服务社会机构入库评分表</w:t>
      </w:r>
    </w:p>
    <w:tbl>
      <w:tblPr>
        <w:tblStyle w:val="3"/>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8"/>
        <w:gridCol w:w="720"/>
        <w:gridCol w:w="5695"/>
        <w:gridCol w:w="113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8" w:hRule="atLeast"/>
          <w:tblHeader/>
          <w:jc w:val="center"/>
        </w:trPr>
        <w:tc>
          <w:tcPr>
            <w:tcW w:w="1198" w:type="dxa"/>
            <w:noWrap w:val="0"/>
            <w:vAlign w:val="center"/>
          </w:tcPr>
          <w:p>
            <w:pPr>
              <w:overflowPunct/>
              <w:autoSpaceDE/>
              <w:autoSpaceDN/>
              <w:adjustRightInd w:val="0"/>
              <w:snapToGrid w:val="0"/>
              <w:spacing w:line="240" w:lineRule="auto"/>
              <w:jc w:val="both"/>
              <w:rPr>
                <w:rFonts w:hint="default" w:ascii="Times New Roman" w:hAnsi="Times New Roman" w:eastAsia="黑体" w:cs="Times New Roman"/>
                <w:snapToGrid/>
                <w:color w:val="auto"/>
                <w:spacing w:val="0"/>
                <w:kern w:val="2"/>
                <w:sz w:val="24"/>
              </w:rPr>
            </w:pPr>
            <w:r>
              <w:rPr>
                <w:rFonts w:hint="default" w:ascii="Times New Roman" w:hAnsi="Times New Roman" w:eastAsia="黑体" w:cs="Times New Roman"/>
                <w:snapToGrid/>
                <w:color w:val="auto"/>
                <w:spacing w:val="0"/>
                <w:kern w:val="2"/>
                <w:sz w:val="24"/>
              </w:rPr>
              <w:t>资格条件</w:t>
            </w:r>
          </w:p>
        </w:tc>
        <w:tc>
          <w:tcPr>
            <w:tcW w:w="720" w:type="dxa"/>
            <w:noWrap w:val="0"/>
            <w:vAlign w:val="center"/>
          </w:tcPr>
          <w:p>
            <w:pPr>
              <w:overflowPunct/>
              <w:autoSpaceDE/>
              <w:autoSpaceDN/>
              <w:adjustRightInd w:val="0"/>
              <w:snapToGrid w:val="0"/>
              <w:spacing w:line="240" w:lineRule="auto"/>
              <w:jc w:val="center"/>
              <w:rPr>
                <w:rFonts w:hint="default" w:ascii="Times New Roman" w:hAnsi="Times New Roman" w:eastAsia="黑体" w:cs="Times New Roman"/>
                <w:snapToGrid/>
                <w:color w:val="auto"/>
                <w:spacing w:val="0"/>
                <w:kern w:val="2"/>
                <w:sz w:val="24"/>
              </w:rPr>
            </w:pPr>
            <w:r>
              <w:rPr>
                <w:rFonts w:hint="default" w:ascii="Times New Roman" w:hAnsi="Times New Roman" w:eastAsia="黑体" w:cs="Times New Roman"/>
                <w:snapToGrid/>
                <w:color w:val="auto"/>
                <w:spacing w:val="0"/>
                <w:kern w:val="2"/>
                <w:sz w:val="24"/>
              </w:rPr>
              <w:t>权重</w:t>
            </w:r>
          </w:p>
        </w:tc>
        <w:tc>
          <w:tcPr>
            <w:tcW w:w="5695" w:type="dxa"/>
            <w:noWrap w:val="0"/>
            <w:vAlign w:val="center"/>
          </w:tcPr>
          <w:p>
            <w:pPr>
              <w:overflowPunct/>
              <w:autoSpaceDE/>
              <w:autoSpaceDN/>
              <w:adjustRightInd w:val="0"/>
              <w:snapToGrid w:val="0"/>
              <w:spacing w:line="240" w:lineRule="auto"/>
              <w:jc w:val="center"/>
              <w:rPr>
                <w:rFonts w:hint="default" w:ascii="Times New Roman" w:hAnsi="Times New Roman" w:eastAsia="黑体" w:cs="Times New Roman"/>
                <w:snapToGrid/>
                <w:color w:val="auto"/>
                <w:spacing w:val="0"/>
                <w:kern w:val="2"/>
                <w:sz w:val="24"/>
              </w:rPr>
            </w:pPr>
            <w:r>
              <w:rPr>
                <w:rFonts w:hint="default" w:ascii="Times New Roman" w:hAnsi="Times New Roman" w:eastAsia="黑体" w:cs="Times New Roman"/>
                <w:snapToGrid/>
                <w:color w:val="auto"/>
                <w:spacing w:val="0"/>
                <w:kern w:val="2"/>
                <w:sz w:val="24"/>
              </w:rPr>
              <w:t>评分细则</w:t>
            </w:r>
          </w:p>
        </w:tc>
        <w:tc>
          <w:tcPr>
            <w:tcW w:w="1134" w:type="dxa"/>
            <w:noWrap w:val="0"/>
            <w:vAlign w:val="center"/>
          </w:tcPr>
          <w:p>
            <w:pPr>
              <w:overflowPunct/>
              <w:autoSpaceDE/>
              <w:autoSpaceDN/>
              <w:adjustRightInd w:val="0"/>
              <w:snapToGrid w:val="0"/>
              <w:spacing w:line="240" w:lineRule="auto"/>
              <w:jc w:val="center"/>
              <w:rPr>
                <w:rFonts w:hint="default" w:ascii="Times New Roman" w:hAnsi="Times New Roman" w:eastAsia="黑体" w:cs="Times New Roman"/>
                <w:snapToGrid/>
                <w:color w:val="auto"/>
                <w:spacing w:val="0"/>
                <w:kern w:val="2"/>
                <w:sz w:val="24"/>
              </w:rPr>
            </w:pPr>
            <w:r>
              <w:rPr>
                <w:rFonts w:hint="default" w:ascii="Times New Roman" w:hAnsi="Times New Roman" w:eastAsia="黑体" w:cs="Times New Roman"/>
                <w:snapToGrid/>
                <w:color w:val="auto"/>
                <w:spacing w:val="0"/>
                <w:kern w:val="2"/>
                <w:sz w:val="24"/>
              </w:rPr>
              <w:t>得分</w:t>
            </w:r>
          </w:p>
        </w:tc>
        <w:tc>
          <w:tcPr>
            <w:tcW w:w="1134" w:type="dxa"/>
            <w:noWrap w:val="0"/>
            <w:vAlign w:val="center"/>
          </w:tcPr>
          <w:p>
            <w:pPr>
              <w:overflowPunct/>
              <w:autoSpaceDE/>
              <w:autoSpaceDN/>
              <w:adjustRightInd w:val="0"/>
              <w:snapToGrid w:val="0"/>
              <w:spacing w:line="240" w:lineRule="auto"/>
              <w:jc w:val="center"/>
              <w:rPr>
                <w:rFonts w:hint="default" w:ascii="Times New Roman" w:hAnsi="Times New Roman" w:eastAsia="黑体" w:cs="Times New Roman"/>
                <w:snapToGrid/>
                <w:color w:val="auto"/>
                <w:spacing w:val="0"/>
                <w:kern w:val="2"/>
                <w:sz w:val="24"/>
              </w:rPr>
            </w:pPr>
            <w:r>
              <w:rPr>
                <w:rFonts w:hint="default" w:ascii="Times New Roman" w:hAnsi="Times New Roman" w:eastAsia="黑体" w:cs="Times New Roman"/>
                <w:snapToGrid/>
                <w:color w:val="auto"/>
                <w:spacing w:val="0"/>
                <w:kern w:val="2"/>
                <w:sz w:val="24"/>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6" w:hRule="atLeast"/>
          <w:jc w:val="center"/>
        </w:trPr>
        <w:tc>
          <w:tcPr>
            <w:tcW w:w="1198" w:type="dxa"/>
            <w:noWrap w:val="0"/>
            <w:vAlign w:val="center"/>
          </w:tcPr>
          <w:p>
            <w:pPr>
              <w:overflowPunct/>
              <w:autoSpaceDE/>
              <w:autoSpaceDN/>
              <w:adjustRightInd/>
              <w:snapToGrid/>
              <w:spacing w:line="400" w:lineRule="exact"/>
              <w:ind w:left="0" w:leftChars="0" w:right="0" w:rightChars="0" w:firstLine="0" w:firstLineChars="0"/>
              <w:jc w:val="center"/>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机构资质</w:t>
            </w:r>
          </w:p>
        </w:tc>
        <w:tc>
          <w:tcPr>
            <w:tcW w:w="720" w:type="dxa"/>
            <w:noWrap w:val="0"/>
            <w:vAlign w:val="center"/>
          </w:tcPr>
          <w:p>
            <w:pPr>
              <w:overflowPunct/>
              <w:autoSpaceDE/>
              <w:autoSpaceDN/>
              <w:adjustRightInd/>
              <w:snapToGrid/>
              <w:spacing w:line="400" w:lineRule="exact"/>
              <w:jc w:val="center"/>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5</w:t>
            </w:r>
          </w:p>
        </w:tc>
        <w:tc>
          <w:tcPr>
            <w:tcW w:w="5695" w:type="dxa"/>
            <w:noWrap w:val="0"/>
            <w:vAlign w:val="center"/>
          </w:tcPr>
          <w:p>
            <w:pPr>
              <w:overflowPunct/>
              <w:autoSpaceDE/>
              <w:autoSpaceDN/>
              <w:adjustRightInd w:val="0"/>
              <w:snapToGrid w:val="0"/>
              <w:spacing w:line="240" w:lineRule="auto"/>
              <w:ind w:firstLine="480" w:firstLineChars="200"/>
              <w:rPr>
                <w:rFonts w:hint="default" w:ascii="Times New Roman" w:hAnsi="Times New Roman" w:eastAsia="FangSong_GB2312" w:cs="Times New Roman"/>
                <w:snapToGrid/>
                <w:color w:val="auto"/>
                <w:spacing w:val="0"/>
                <w:kern w:val="2"/>
                <w:sz w:val="24"/>
                <w:lang w:val="en-US" w:eastAsia="zh-CN"/>
              </w:rPr>
            </w:pPr>
            <w:r>
              <w:rPr>
                <w:rFonts w:hint="default" w:ascii="Times New Roman" w:hAnsi="Times New Roman" w:eastAsia="FangSong_GB2312" w:cs="Times New Roman"/>
                <w:snapToGrid/>
                <w:color w:val="auto"/>
                <w:spacing w:val="0"/>
                <w:kern w:val="2"/>
                <w:sz w:val="24"/>
              </w:rPr>
              <w:t>1.</w:t>
            </w:r>
            <w:r>
              <w:rPr>
                <w:rFonts w:hint="default" w:ascii="Times New Roman" w:hAnsi="Times New Roman" w:eastAsia="FangSong_GB2312" w:cs="Times New Roman"/>
                <w:snapToGrid/>
                <w:color w:val="auto"/>
                <w:spacing w:val="0"/>
                <w:kern w:val="2"/>
                <w:sz w:val="24"/>
                <w:lang w:val="en-US" w:eastAsia="zh-CN"/>
              </w:rPr>
              <w:t>属于教育行政部门许可的非学科类培训机构，培训范围阅读培训、语言能力培训、艺术培训、科技培训、社会服务等非学科类。持有教育行政部门颁发的《民办学校办学许可证》，同时持有民政局颁发的《民办非企业单位登记证书》或市场监管局颁发的《营业执照》。体育类社会机构，应持有民政部门颁发的《社会团体法人登记证书》或《民办非企业单位登记证书》或市场监管局颁发的《营业执照》。</w:t>
            </w:r>
          </w:p>
          <w:p>
            <w:pPr>
              <w:overflowPunct/>
              <w:autoSpaceDE/>
              <w:autoSpaceDN/>
              <w:adjustRightInd w:val="0"/>
              <w:snapToGrid w:val="0"/>
              <w:spacing w:line="240" w:lineRule="auto"/>
              <w:ind w:firstLine="480" w:firstLineChars="200"/>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2.社区活动中心、校外活动中心、青少年宫、妇女儿童活动中心、研学实践基地、艺术院校等符合条件的社会服务机构类民办非企业单位及其他具有校内课后服务资质的机构。</w:t>
            </w:r>
          </w:p>
          <w:p>
            <w:pPr>
              <w:overflowPunct/>
              <w:autoSpaceDE/>
              <w:autoSpaceDN/>
              <w:adjustRightInd w:val="0"/>
              <w:snapToGrid w:val="0"/>
              <w:spacing w:line="240" w:lineRule="auto"/>
              <w:ind w:firstLine="480" w:firstLineChars="200"/>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3.镇级以上依法注册的公益性组织、志愿者组织、科技与综合实践类、体育类、艺术类协会、非物质文化遗产等优秀传统文化传承项目和特殊素质教育项目的机构（经所属主管部门及镇街教育行政部门同意，审核后以公益性免费课程等形式参与）。</w:t>
            </w:r>
          </w:p>
          <w:p>
            <w:pPr>
              <w:overflowPunct/>
              <w:autoSpaceDE/>
              <w:autoSpaceDN/>
              <w:adjustRightInd w:val="0"/>
              <w:snapToGrid w:val="0"/>
              <w:spacing w:line="240" w:lineRule="auto"/>
              <w:ind w:firstLine="480" w:firstLineChars="200"/>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4.负责人必须具有相应的业务专长和管理课后托管的能力，从事教育工作2年以上(或从事专业技术工作2年以上)。</w:t>
            </w:r>
          </w:p>
          <w:p>
            <w:pPr>
              <w:overflowPunct/>
              <w:autoSpaceDE/>
              <w:autoSpaceDN/>
              <w:adjustRightInd w:val="0"/>
              <w:snapToGrid w:val="0"/>
              <w:spacing w:line="240" w:lineRule="auto"/>
              <w:ind w:firstLine="480" w:firstLineChars="200"/>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5.机构所聘请的专业人员应当具备《教师法》规定的教师资格(或相关专业技术规定的资格) 及相关方面的两年以上工作经验。</w:t>
            </w:r>
          </w:p>
          <w:p>
            <w:pPr>
              <w:overflowPunct/>
              <w:autoSpaceDE/>
              <w:autoSpaceDN/>
              <w:adjustRightInd w:val="0"/>
              <w:snapToGrid w:val="0"/>
              <w:spacing w:line="240" w:lineRule="auto"/>
              <w:ind w:firstLine="480" w:firstLineChars="200"/>
              <w:rPr>
                <w:rFonts w:hint="default" w:ascii="Times New Roman" w:hAnsi="Times New Roman" w:eastAsia="FangSong_GB2312" w:cs="Times New Roman"/>
                <w:snapToGrid/>
                <w:color w:val="auto"/>
                <w:spacing w:val="0"/>
                <w:kern w:val="2"/>
                <w:sz w:val="24"/>
                <w:lang w:val="en-US" w:eastAsia="zh-CN"/>
              </w:rPr>
            </w:pPr>
            <w:r>
              <w:rPr>
                <w:rFonts w:hint="default" w:ascii="Times New Roman" w:hAnsi="Times New Roman" w:eastAsia="FangSong_GB2312" w:cs="Times New Roman"/>
                <w:snapToGrid/>
                <w:color w:val="auto"/>
                <w:spacing w:val="0"/>
                <w:kern w:val="2"/>
                <w:sz w:val="24"/>
                <w:lang w:val="en-US" w:eastAsia="zh-CN"/>
              </w:rPr>
              <w:t>6.提供任课教师个人无犯罪证明。</w:t>
            </w:r>
          </w:p>
          <w:p>
            <w:pPr>
              <w:overflowPunct/>
              <w:autoSpaceDE/>
              <w:autoSpaceDN/>
              <w:adjustRightInd w:val="0"/>
              <w:snapToGrid w:val="0"/>
              <w:spacing w:line="240" w:lineRule="auto"/>
              <w:ind w:firstLine="480" w:firstLineChars="200"/>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以上机构无违法不良记录。且守法经营，未被列入异常名录</w:t>
            </w:r>
            <w:r>
              <w:rPr>
                <w:rFonts w:hint="default" w:ascii="Times New Roman" w:hAnsi="Times New Roman" w:eastAsia="FangSong_GB2312" w:cs="Times New Roman"/>
                <w:snapToGrid/>
                <w:color w:val="auto"/>
                <w:spacing w:val="0"/>
                <w:kern w:val="2"/>
                <w:sz w:val="24"/>
                <w:lang w:eastAsia="zh-CN"/>
              </w:rPr>
              <w:t>，</w:t>
            </w:r>
            <w:r>
              <w:rPr>
                <w:rFonts w:hint="default" w:ascii="Times New Roman" w:hAnsi="Times New Roman" w:eastAsia="FangSong_GB2312" w:cs="Times New Roman"/>
                <w:snapToGrid/>
                <w:color w:val="auto"/>
                <w:spacing w:val="0"/>
                <w:kern w:val="2"/>
                <w:sz w:val="24"/>
                <w:lang w:val="en-US" w:eastAsia="zh-CN"/>
              </w:rPr>
              <w:t>并已开设风险保证金账户</w:t>
            </w:r>
            <w:r>
              <w:rPr>
                <w:rFonts w:hint="default" w:ascii="Times New Roman" w:hAnsi="Times New Roman" w:eastAsia="FangSong_GB2312" w:cs="Times New Roman"/>
                <w:snapToGrid/>
                <w:color w:val="auto"/>
                <w:spacing w:val="0"/>
                <w:kern w:val="2"/>
                <w:sz w:val="24"/>
              </w:rPr>
              <w:t>（以提供上述证照、“信用中国”和“中国政府采购网”查询页面截图，否则无效）。</w:t>
            </w:r>
          </w:p>
        </w:tc>
        <w:tc>
          <w:tcPr>
            <w:tcW w:w="1134" w:type="dxa"/>
            <w:noWrap w:val="0"/>
            <w:vAlign w:val="center"/>
          </w:tcPr>
          <w:p>
            <w:pPr>
              <w:overflowPunct/>
              <w:autoSpaceDE/>
              <w:autoSpaceDN/>
              <w:adjustRightInd/>
              <w:snapToGrid/>
              <w:spacing w:line="240" w:lineRule="auto"/>
              <w:jc w:val="center"/>
              <w:rPr>
                <w:rFonts w:hint="default" w:ascii="Times New Roman" w:hAnsi="Times New Roman" w:eastAsia="FangSong_GB2312" w:cs="Times New Roman"/>
                <w:snapToGrid/>
                <w:color w:val="auto"/>
                <w:spacing w:val="0"/>
                <w:kern w:val="2"/>
                <w:sz w:val="24"/>
              </w:rPr>
            </w:pPr>
          </w:p>
        </w:tc>
        <w:tc>
          <w:tcPr>
            <w:tcW w:w="1134" w:type="dxa"/>
            <w:vMerge w:val="restart"/>
            <w:noWrap w:val="0"/>
            <w:vAlign w:val="center"/>
          </w:tcPr>
          <w:p>
            <w:pPr>
              <w:overflowPunct/>
              <w:autoSpaceDE/>
              <w:autoSpaceDN/>
              <w:adjustRightInd/>
              <w:snapToGrid/>
              <w:spacing w:line="240" w:lineRule="auto"/>
              <w:jc w:val="center"/>
              <w:rPr>
                <w:rFonts w:hint="default" w:ascii="Times New Roman" w:hAnsi="Times New Roman" w:eastAsia="FangSong_GB2312" w:cs="Times New Roman"/>
                <w:snapToGrid/>
                <w:color w:val="auto"/>
                <w:spacing w:val="0"/>
                <w:kern w:val="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3" w:hRule="atLeast"/>
          <w:jc w:val="center"/>
        </w:trPr>
        <w:tc>
          <w:tcPr>
            <w:tcW w:w="1198" w:type="dxa"/>
            <w:noWrap w:val="0"/>
            <w:vAlign w:val="center"/>
          </w:tcPr>
          <w:p>
            <w:pPr>
              <w:overflowPunct/>
              <w:autoSpaceDE/>
              <w:autoSpaceDN/>
              <w:adjustRightInd/>
              <w:snapToGrid/>
              <w:spacing w:line="400" w:lineRule="exact"/>
              <w:ind w:left="0" w:leftChars="0" w:right="0" w:rightChars="0" w:firstLine="0" w:firstLineChars="0"/>
              <w:jc w:val="center"/>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注册资金</w:t>
            </w:r>
          </w:p>
        </w:tc>
        <w:tc>
          <w:tcPr>
            <w:tcW w:w="720" w:type="dxa"/>
            <w:noWrap w:val="0"/>
            <w:vAlign w:val="center"/>
          </w:tcPr>
          <w:p>
            <w:pPr>
              <w:overflowPunct/>
              <w:autoSpaceDE/>
              <w:autoSpaceDN/>
              <w:adjustRightInd/>
              <w:snapToGrid/>
              <w:spacing w:line="400" w:lineRule="exact"/>
              <w:jc w:val="center"/>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5</w:t>
            </w:r>
          </w:p>
        </w:tc>
        <w:tc>
          <w:tcPr>
            <w:tcW w:w="5695" w:type="dxa"/>
            <w:noWrap w:val="0"/>
            <w:vAlign w:val="center"/>
          </w:tcPr>
          <w:p>
            <w:pPr>
              <w:overflowPunct/>
              <w:autoSpaceDE/>
              <w:autoSpaceDN/>
              <w:adjustRightInd w:val="0"/>
              <w:snapToGrid w:val="0"/>
              <w:spacing w:line="320" w:lineRule="exact"/>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机构注册资金10万以上至30万元以下得3分，30万元（或以上）得5分。</w:t>
            </w:r>
          </w:p>
        </w:tc>
        <w:tc>
          <w:tcPr>
            <w:tcW w:w="1134" w:type="dxa"/>
            <w:noWrap w:val="0"/>
            <w:vAlign w:val="center"/>
          </w:tcPr>
          <w:p>
            <w:pPr>
              <w:overflowPunct/>
              <w:autoSpaceDE/>
              <w:autoSpaceDN/>
              <w:adjustRightInd/>
              <w:snapToGrid/>
              <w:spacing w:line="240" w:lineRule="auto"/>
              <w:jc w:val="center"/>
              <w:rPr>
                <w:rFonts w:hint="default" w:ascii="Times New Roman" w:hAnsi="Times New Roman" w:eastAsia="FangSong_GB2312" w:cs="Times New Roman"/>
                <w:snapToGrid/>
                <w:color w:val="auto"/>
                <w:spacing w:val="0"/>
                <w:kern w:val="2"/>
                <w:sz w:val="24"/>
                <w:highlight w:val="yellow"/>
              </w:rPr>
            </w:pPr>
          </w:p>
        </w:tc>
        <w:tc>
          <w:tcPr>
            <w:tcW w:w="1134" w:type="dxa"/>
            <w:vMerge w:val="continue"/>
            <w:noWrap w:val="0"/>
            <w:vAlign w:val="center"/>
          </w:tcPr>
          <w:p>
            <w:pPr>
              <w:overflowPunct/>
              <w:autoSpaceDE/>
              <w:autoSpaceDN/>
              <w:adjustRightInd/>
              <w:snapToGrid/>
              <w:spacing w:line="240" w:lineRule="auto"/>
              <w:jc w:val="center"/>
              <w:rPr>
                <w:rFonts w:hint="default" w:ascii="Times New Roman" w:hAnsi="Times New Roman" w:eastAsia="FangSong_GB2312" w:cs="Times New Roman"/>
                <w:snapToGrid/>
                <w:color w:val="auto"/>
                <w:spacing w:val="0"/>
                <w:kern w:val="2"/>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198" w:type="dxa"/>
            <w:noWrap w:val="0"/>
            <w:vAlign w:val="center"/>
          </w:tcPr>
          <w:p>
            <w:pPr>
              <w:overflowPunct/>
              <w:autoSpaceDE/>
              <w:autoSpaceDN/>
              <w:adjustRightInd/>
              <w:snapToGrid/>
              <w:spacing w:line="360" w:lineRule="exact"/>
              <w:ind w:left="0" w:leftChars="0" w:right="0" w:rightChars="0" w:firstLine="0" w:firstLineChars="0"/>
              <w:jc w:val="center"/>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负责人(校长、总经理等)资格</w:t>
            </w:r>
          </w:p>
        </w:tc>
        <w:tc>
          <w:tcPr>
            <w:tcW w:w="720" w:type="dxa"/>
            <w:noWrap w:val="0"/>
            <w:vAlign w:val="center"/>
          </w:tcPr>
          <w:p>
            <w:pPr>
              <w:overflowPunct/>
              <w:autoSpaceDE/>
              <w:autoSpaceDN/>
              <w:adjustRightInd/>
              <w:snapToGrid/>
              <w:spacing w:line="360" w:lineRule="exact"/>
              <w:jc w:val="center"/>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5</w:t>
            </w:r>
          </w:p>
        </w:tc>
        <w:tc>
          <w:tcPr>
            <w:tcW w:w="5695" w:type="dxa"/>
            <w:noWrap w:val="0"/>
            <w:vAlign w:val="center"/>
          </w:tcPr>
          <w:p>
            <w:pPr>
              <w:overflowPunct/>
              <w:autoSpaceDE/>
              <w:autoSpaceDN/>
              <w:adjustRightInd w:val="0"/>
              <w:snapToGrid w:val="0"/>
              <w:spacing w:line="320" w:lineRule="exact"/>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负责人必须具有相应的业务专长和管理课后托管的能力，具有教师资格并从事教育工作2年以上或从事本行业专业技术工作2年以上。（以提供教师资格证、在培训机构(或学校)购买社保证明和聘任合同为准，否则无效）。</w:t>
            </w:r>
          </w:p>
          <w:p>
            <w:pPr>
              <w:numPr>
                <w:ilvl w:val="0"/>
                <w:numId w:val="0"/>
              </w:numPr>
              <w:overflowPunct/>
              <w:autoSpaceDE/>
              <w:autoSpaceDN/>
              <w:adjustRightInd w:val="0"/>
              <w:snapToGrid w:val="0"/>
              <w:spacing w:line="320" w:lineRule="exact"/>
              <w:ind w:leftChars="0"/>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lang w:val="en-US" w:eastAsia="zh-CN"/>
              </w:rPr>
              <w:t>1.</w:t>
            </w:r>
            <w:r>
              <w:rPr>
                <w:rFonts w:hint="default" w:ascii="Times New Roman" w:hAnsi="Times New Roman" w:eastAsia="FangSong_GB2312" w:cs="Times New Roman"/>
                <w:snapToGrid/>
                <w:color w:val="auto"/>
                <w:spacing w:val="0"/>
                <w:kern w:val="2"/>
                <w:sz w:val="24"/>
              </w:rPr>
              <w:t>负责人有在培训机构(或学校)购买社保2年以上证明、聘任合同（无教师资格证）得3分。</w:t>
            </w:r>
          </w:p>
          <w:p>
            <w:pPr>
              <w:numPr>
                <w:ilvl w:val="0"/>
                <w:numId w:val="0"/>
              </w:numPr>
              <w:overflowPunct/>
              <w:autoSpaceDE/>
              <w:autoSpaceDN/>
              <w:adjustRightInd w:val="0"/>
              <w:snapToGrid w:val="0"/>
              <w:spacing w:line="320" w:lineRule="exact"/>
              <w:ind w:leftChars="0"/>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lang w:val="en-US" w:eastAsia="zh-CN"/>
              </w:rPr>
              <w:t>2.</w:t>
            </w:r>
            <w:r>
              <w:rPr>
                <w:rFonts w:hint="default" w:ascii="Times New Roman" w:hAnsi="Times New Roman" w:eastAsia="FangSong_GB2312" w:cs="Times New Roman"/>
                <w:snapToGrid/>
                <w:color w:val="auto"/>
                <w:spacing w:val="0"/>
                <w:kern w:val="2"/>
                <w:sz w:val="24"/>
              </w:rPr>
              <w:t>负责人有教师资格证得2分。</w:t>
            </w:r>
          </w:p>
        </w:tc>
        <w:tc>
          <w:tcPr>
            <w:tcW w:w="1134" w:type="dxa"/>
            <w:noWrap w:val="0"/>
            <w:vAlign w:val="center"/>
          </w:tcPr>
          <w:p>
            <w:pPr>
              <w:overflowPunct/>
              <w:autoSpaceDE/>
              <w:autoSpaceDN/>
              <w:adjustRightInd/>
              <w:snapToGrid/>
              <w:spacing w:line="240" w:lineRule="auto"/>
              <w:jc w:val="center"/>
              <w:rPr>
                <w:rFonts w:hint="default" w:ascii="Times New Roman" w:hAnsi="Times New Roman" w:eastAsia="FangSong_GB2312" w:cs="Times New Roman"/>
                <w:snapToGrid/>
                <w:color w:val="auto"/>
                <w:spacing w:val="0"/>
                <w:kern w:val="2"/>
                <w:sz w:val="24"/>
                <w:highlight w:val="yellow"/>
              </w:rPr>
            </w:pPr>
          </w:p>
        </w:tc>
        <w:tc>
          <w:tcPr>
            <w:tcW w:w="1134" w:type="dxa"/>
            <w:vMerge w:val="continue"/>
            <w:noWrap w:val="0"/>
            <w:vAlign w:val="center"/>
          </w:tcPr>
          <w:p>
            <w:pPr>
              <w:overflowPunct/>
              <w:autoSpaceDE/>
              <w:autoSpaceDN/>
              <w:adjustRightInd/>
              <w:snapToGrid/>
              <w:spacing w:line="240" w:lineRule="auto"/>
              <w:jc w:val="center"/>
              <w:rPr>
                <w:rFonts w:hint="default" w:ascii="Times New Roman" w:hAnsi="Times New Roman" w:eastAsia="FangSong_GB2312" w:cs="Times New Roman"/>
                <w:snapToGrid/>
                <w:color w:val="auto"/>
                <w:spacing w:val="0"/>
                <w:kern w:val="2"/>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6" w:hRule="atLeast"/>
          <w:jc w:val="center"/>
        </w:trPr>
        <w:tc>
          <w:tcPr>
            <w:tcW w:w="1198" w:type="dxa"/>
            <w:noWrap w:val="0"/>
            <w:vAlign w:val="center"/>
          </w:tcPr>
          <w:p>
            <w:pPr>
              <w:overflowPunct/>
              <w:autoSpaceDE/>
              <w:autoSpaceDN/>
              <w:adjustRightInd/>
              <w:snapToGrid/>
              <w:spacing w:line="400" w:lineRule="exact"/>
              <w:ind w:left="0" w:leftChars="0" w:right="0" w:rightChars="0" w:firstLine="0" w:firstLineChars="0"/>
              <w:jc w:val="center"/>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专业人</w:t>
            </w:r>
          </w:p>
          <w:p>
            <w:pPr>
              <w:overflowPunct/>
              <w:autoSpaceDE/>
              <w:autoSpaceDN/>
              <w:adjustRightInd/>
              <w:snapToGrid/>
              <w:spacing w:line="400" w:lineRule="exact"/>
              <w:ind w:left="0" w:leftChars="0" w:right="0" w:rightChars="0" w:firstLine="0" w:firstLineChars="0"/>
              <w:jc w:val="center"/>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员数量</w:t>
            </w:r>
          </w:p>
        </w:tc>
        <w:tc>
          <w:tcPr>
            <w:tcW w:w="720" w:type="dxa"/>
            <w:noWrap w:val="0"/>
            <w:vAlign w:val="center"/>
          </w:tcPr>
          <w:p>
            <w:pPr>
              <w:overflowPunct/>
              <w:autoSpaceDE/>
              <w:autoSpaceDN/>
              <w:adjustRightInd/>
              <w:snapToGrid/>
              <w:spacing w:line="400" w:lineRule="exact"/>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 xml:space="preserve"> 20</w:t>
            </w:r>
          </w:p>
        </w:tc>
        <w:tc>
          <w:tcPr>
            <w:tcW w:w="5695" w:type="dxa"/>
            <w:noWrap w:val="0"/>
            <w:vAlign w:val="center"/>
          </w:tcPr>
          <w:p>
            <w:pPr>
              <w:overflowPunct/>
              <w:autoSpaceDE/>
              <w:autoSpaceDN/>
              <w:adjustRightInd w:val="0"/>
              <w:snapToGrid w:val="0"/>
              <w:spacing w:line="320" w:lineRule="exact"/>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有符合一定资质的体育、音乐、美术、书法、科学、语言艺术与表演等各类专业技术培训人员，提供人员聘任合同（两年以上工作经验）及能证明其专业能力的资料，如：对应大专（或以上）专业的毕业证、教师资格证、专业资格证、教练证等,否则无效。每１名专业培训人员得1分。此项累计最高20分。</w:t>
            </w:r>
          </w:p>
        </w:tc>
        <w:tc>
          <w:tcPr>
            <w:tcW w:w="1134" w:type="dxa"/>
            <w:noWrap w:val="0"/>
            <w:vAlign w:val="center"/>
          </w:tcPr>
          <w:p>
            <w:pPr>
              <w:overflowPunct/>
              <w:autoSpaceDE/>
              <w:autoSpaceDN/>
              <w:adjustRightInd/>
              <w:snapToGrid/>
              <w:spacing w:line="240" w:lineRule="auto"/>
              <w:jc w:val="center"/>
              <w:rPr>
                <w:rFonts w:hint="default" w:ascii="Times New Roman" w:hAnsi="Times New Roman" w:eastAsia="FangSong_GB2312" w:cs="Times New Roman"/>
                <w:snapToGrid/>
                <w:color w:val="auto"/>
                <w:spacing w:val="0"/>
                <w:kern w:val="2"/>
                <w:sz w:val="24"/>
              </w:rPr>
            </w:pPr>
          </w:p>
        </w:tc>
        <w:tc>
          <w:tcPr>
            <w:tcW w:w="1134" w:type="dxa"/>
            <w:vMerge w:val="continue"/>
            <w:noWrap w:val="0"/>
            <w:vAlign w:val="center"/>
          </w:tcPr>
          <w:p>
            <w:pPr>
              <w:overflowPunct/>
              <w:autoSpaceDE/>
              <w:autoSpaceDN/>
              <w:adjustRightInd/>
              <w:snapToGrid/>
              <w:spacing w:line="240" w:lineRule="auto"/>
              <w:jc w:val="center"/>
              <w:rPr>
                <w:rFonts w:hint="default" w:ascii="Times New Roman" w:hAnsi="Times New Roman" w:eastAsia="FangSong_GB2312" w:cs="Times New Roman"/>
                <w:snapToGrid/>
                <w:color w:val="auto"/>
                <w:spacing w:val="0"/>
                <w:kern w:val="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3" w:hRule="atLeast"/>
          <w:jc w:val="center"/>
        </w:trPr>
        <w:tc>
          <w:tcPr>
            <w:tcW w:w="1198" w:type="dxa"/>
            <w:noWrap w:val="0"/>
            <w:vAlign w:val="center"/>
          </w:tcPr>
          <w:p>
            <w:pPr>
              <w:overflowPunct/>
              <w:autoSpaceDE/>
              <w:autoSpaceDN/>
              <w:adjustRightInd/>
              <w:snapToGrid/>
              <w:spacing w:line="360" w:lineRule="exact"/>
              <w:ind w:left="0" w:leftChars="0" w:right="0" w:rightChars="0" w:firstLine="0" w:firstLineChars="0"/>
              <w:jc w:val="center"/>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专业人</w:t>
            </w:r>
          </w:p>
          <w:p>
            <w:pPr>
              <w:overflowPunct/>
              <w:autoSpaceDE/>
              <w:autoSpaceDN/>
              <w:adjustRightInd/>
              <w:snapToGrid/>
              <w:spacing w:line="360" w:lineRule="exact"/>
              <w:ind w:left="0" w:leftChars="0" w:right="0" w:rightChars="0" w:firstLine="0" w:firstLineChars="0"/>
              <w:jc w:val="center"/>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员资质</w:t>
            </w:r>
          </w:p>
        </w:tc>
        <w:tc>
          <w:tcPr>
            <w:tcW w:w="720" w:type="dxa"/>
            <w:noWrap w:val="0"/>
            <w:vAlign w:val="center"/>
          </w:tcPr>
          <w:p>
            <w:pPr>
              <w:overflowPunct/>
              <w:autoSpaceDE/>
              <w:autoSpaceDN/>
              <w:adjustRightInd/>
              <w:snapToGrid/>
              <w:spacing w:line="360" w:lineRule="exact"/>
              <w:jc w:val="center"/>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20</w:t>
            </w:r>
          </w:p>
        </w:tc>
        <w:tc>
          <w:tcPr>
            <w:tcW w:w="5695" w:type="dxa"/>
            <w:noWrap w:val="0"/>
            <w:vAlign w:val="center"/>
          </w:tcPr>
          <w:p>
            <w:pPr>
              <w:overflowPunct/>
              <w:autoSpaceDE/>
              <w:autoSpaceDN/>
              <w:adjustRightInd w:val="0"/>
              <w:snapToGrid w:val="0"/>
              <w:spacing w:line="320" w:lineRule="exact"/>
              <w:rPr>
                <w:rFonts w:hint="default" w:ascii="Times New Roman" w:hAnsi="Times New Roman" w:eastAsia="FangSong_GB2312" w:cs="Times New Roman"/>
                <w:b/>
                <w:snapToGrid/>
                <w:color w:val="auto"/>
                <w:spacing w:val="0"/>
                <w:kern w:val="2"/>
                <w:sz w:val="24"/>
              </w:rPr>
            </w:pPr>
            <w:r>
              <w:rPr>
                <w:rFonts w:hint="default" w:ascii="Times New Roman" w:hAnsi="Times New Roman" w:eastAsia="FangSong_GB2312" w:cs="Times New Roman"/>
                <w:b/>
                <w:snapToGrid/>
                <w:color w:val="auto"/>
                <w:spacing w:val="0"/>
                <w:kern w:val="2"/>
                <w:sz w:val="24"/>
              </w:rPr>
              <w:t>一、专业影响力。</w:t>
            </w:r>
          </w:p>
          <w:p>
            <w:pPr>
              <w:numPr>
                <w:ilvl w:val="0"/>
                <w:numId w:val="0"/>
              </w:numPr>
              <w:overflowPunct/>
              <w:autoSpaceDE/>
              <w:autoSpaceDN/>
              <w:adjustRightInd w:val="0"/>
              <w:snapToGrid w:val="0"/>
              <w:spacing w:line="320" w:lineRule="exact"/>
              <w:ind w:leftChars="0"/>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lang w:val="en-US" w:eastAsia="zh-CN"/>
              </w:rPr>
              <w:t>1.</w:t>
            </w:r>
            <w:r>
              <w:rPr>
                <w:rFonts w:hint="default" w:ascii="Times New Roman" w:hAnsi="Times New Roman" w:eastAsia="FangSong_GB2312" w:cs="Times New Roman"/>
                <w:snapToGrid/>
                <w:color w:val="auto"/>
                <w:spacing w:val="0"/>
                <w:kern w:val="2"/>
                <w:sz w:val="24"/>
              </w:rPr>
              <w:t>是各级政府注册登记的专业协会成员，其中国家级得4分、省级得3分、市级得2分、区级得1分（每人只能取最高级别的1项计分）。</w:t>
            </w:r>
          </w:p>
          <w:p>
            <w:pPr>
              <w:numPr>
                <w:ilvl w:val="0"/>
                <w:numId w:val="0"/>
              </w:numPr>
              <w:overflowPunct/>
              <w:autoSpaceDE/>
              <w:autoSpaceDN/>
              <w:adjustRightInd w:val="0"/>
              <w:snapToGrid w:val="0"/>
              <w:spacing w:line="320" w:lineRule="exact"/>
              <w:ind w:leftChars="0"/>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lang w:val="en-US" w:eastAsia="zh-CN"/>
              </w:rPr>
              <w:t>2.</w:t>
            </w:r>
            <w:r>
              <w:rPr>
                <w:rFonts w:hint="default" w:ascii="Times New Roman" w:hAnsi="Times New Roman" w:eastAsia="FangSong_GB2312" w:cs="Times New Roman"/>
                <w:snapToGrid/>
                <w:color w:val="auto"/>
                <w:spacing w:val="0"/>
                <w:kern w:val="2"/>
                <w:sz w:val="24"/>
              </w:rPr>
              <w:t>在各级政府注册登记的专业协会中担任领导职务，其中国家级得4分、省级得3分、市级得2分、区级得1分（每人只能取最高级别的1项计分）。</w:t>
            </w:r>
          </w:p>
          <w:p>
            <w:pPr>
              <w:overflowPunct/>
              <w:autoSpaceDE/>
              <w:autoSpaceDN/>
              <w:adjustRightInd w:val="0"/>
              <w:snapToGrid w:val="0"/>
              <w:spacing w:line="320" w:lineRule="exact"/>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（以提供各级政府注册登记的专业协会成员或担任领导职务的文件或会员证书、协会办公电话、聘任合同等证明材料为准，否则无效）。</w:t>
            </w:r>
          </w:p>
          <w:p>
            <w:pPr>
              <w:overflowPunct/>
              <w:autoSpaceDE/>
              <w:autoSpaceDN/>
              <w:adjustRightInd w:val="0"/>
              <w:snapToGrid w:val="0"/>
              <w:spacing w:line="320" w:lineRule="exact"/>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此项累计最高得10分。</w:t>
            </w:r>
          </w:p>
          <w:p>
            <w:pPr>
              <w:overflowPunct/>
              <w:autoSpaceDE/>
              <w:autoSpaceDN/>
              <w:adjustRightInd w:val="0"/>
              <w:snapToGrid w:val="0"/>
              <w:spacing w:line="320" w:lineRule="exact"/>
              <w:rPr>
                <w:rFonts w:hint="default" w:ascii="Times New Roman" w:hAnsi="Times New Roman" w:eastAsia="FangSong_GB2312" w:cs="Times New Roman"/>
                <w:b/>
                <w:snapToGrid/>
                <w:color w:val="auto"/>
                <w:spacing w:val="0"/>
                <w:kern w:val="2"/>
                <w:sz w:val="24"/>
              </w:rPr>
            </w:pPr>
            <w:r>
              <w:rPr>
                <w:rFonts w:hint="default" w:ascii="Times New Roman" w:hAnsi="Times New Roman" w:eastAsia="FangSong_GB2312" w:cs="Times New Roman"/>
                <w:b/>
                <w:snapToGrid/>
                <w:color w:val="auto"/>
                <w:spacing w:val="0"/>
                <w:kern w:val="2"/>
                <w:sz w:val="24"/>
              </w:rPr>
              <w:t>二、个人专业能力。</w:t>
            </w:r>
          </w:p>
          <w:p>
            <w:pPr>
              <w:overflowPunct/>
              <w:autoSpaceDE/>
              <w:autoSpaceDN/>
              <w:adjustRightInd w:val="0"/>
              <w:snapToGrid w:val="0"/>
              <w:spacing w:line="320" w:lineRule="exact"/>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在各级政府注册登记的专业协会和主管部门举办的专业竞赛或作品评比等活动中获得荣誉，其中国家级得4分、省级得3分、市级得2分、区级得1分（每人只能取最高级别的1项计分）。（提供各级政府注册登记的协会和业务主管部门举办的专业竞赛或作品评比等活动中获得荣誉证书或奖牌、协会或主管部门办公电话等证明材料为准，否则无效）。此项累计最高得10分。</w:t>
            </w:r>
          </w:p>
        </w:tc>
        <w:tc>
          <w:tcPr>
            <w:tcW w:w="1134" w:type="dxa"/>
            <w:noWrap w:val="0"/>
            <w:vAlign w:val="center"/>
          </w:tcPr>
          <w:p>
            <w:pPr>
              <w:overflowPunct/>
              <w:autoSpaceDE/>
              <w:autoSpaceDN/>
              <w:adjustRightInd/>
              <w:snapToGrid/>
              <w:spacing w:line="360" w:lineRule="exact"/>
              <w:jc w:val="center"/>
              <w:rPr>
                <w:rFonts w:hint="default" w:ascii="Times New Roman" w:hAnsi="Times New Roman" w:eastAsia="FangSong_GB2312" w:cs="Times New Roman"/>
                <w:snapToGrid/>
                <w:color w:val="auto"/>
                <w:spacing w:val="0"/>
                <w:kern w:val="2"/>
                <w:sz w:val="24"/>
              </w:rPr>
            </w:pPr>
          </w:p>
        </w:tc>
        <w:tc>
          <w:tcPr>
            <w:tcW w:w="1134" w:type="dxa"/>
            <w:vMerge w:val="continue"/>
            <w:noWrap w:val="0"/>
            <w:vAlign w:val="center"/>
          </w:tcPr>
          <w:p>
            <w:pPr>
              <w:overflowPunct/>
              <w:autoSpaceDE/>
              <w:autoSpaceDN/>
              <w:adjustRightInd/>
              <w:snapToGrid/>
              <w:spacing w:line="360" w:lineRule="exact"/>
              <w:jc w:val="center"/>
              <w:rPr>
                <w:rFonts w:hint="default" w:ascii="Times New Roman" w:hAnsi="Times New Roman" w:eastAsia="FangSong_GB2312" w:cs="Times New Roman"/>
                <w:snapToGrid/>
                <w:color w:val="auto"/>
                <w:spacing w:val="0"/>
                <w:kern w:val="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jc w:val="center"/>
        </w:trPr>
        <w:tc>
          <w:tcPr>
            <w:tcW w:w="1198" w:type="dxa"/>
            <w:noWrap w:val="0"/>
            <w:vAlign w:val="center"/>
          </w:tcPr>
          <w:p>
            <w:pPr>
              <w:overflowPunct/>
              <w:autoSpaceDE/>
              <w:autoSpaceDN/>
              <w:adjustRightInd/>
              <w:snapToGrid/>
              <w:spacing w:line="400" w:lineRule="exact"/>
              <w:ind w:left="0" w:leftChars="0" w:right="0" w:rightChars="0" w:firstLine="0" w:firstLineChars="0"/>
              <w:jc w:val="center"/>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优质特</w:t>
            </w:r>
          </w:p>
          <w:p>
            <w:pPr>
              <w:overflowPunct/>
              <w:autoSpaceDE/>
              <w:autoSpaceDN/>
              <w:adjustRightInd/>
              <w:snapToGrid/>
              <w:spacing w:line="400" w:lineRule="exact"/>
              <w:ind w:left="0" w:leftChars="0" w:right="0" w:rightChars="0" w:firstLine="0" w:firstLineChars="0"/>
              <w:jc w:val="center"/>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色课程</w:t>
            </w:r>
          </w:p>
        </w:tc>
        <w:tc>
          <w:tcPr>
            <w:tcW w:w="720" w:type="dxa"/>
            <w:noWrap w:val="0"/>
            <w:vAlign w:val="center"/>
          </w:tcPr>
          <w:p>
            <w:pPr>
              <w:overflowPunct/>
              <w:autoSpaceDE/>
              <w:autoSpaceDN/>
              <w:adjustRightInd/>
              <w:snapToGrid/>
              <w:spacing w:line="400" w:lineRule="exact"/>
              <w:jc w:val="center"/>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20</w:t>
            </w:r>
          </w:p>
        </w:tc>
        <w:tc>
          <w:tcPr>
            <w:tcW w:w="5695" w:type="dxa"/>
            <w:noWrap w:val="0"/>
            <w:vAlign w:val="center"/>
          </w:tcPr>
          <w:p>
            <w:pPr>
              <w:overflowPunct/>
              <w:autoSpaceDE/>
              <w:autoSpaceDN/>
              <w:adjustRightInd/>
              <w:snapToGrid/>
              <w:spacing w:line="400" w:lineRule="exact"/>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机构的优质特色课程，按评分高低排列得分：第1名得20分，第2名得16分，第3名得12分，第4名得8分，第5名得4分，第6名之后得1分。</w:t>
            </w:r>
          </w:p>
          <w:p>
            <w:pPr>
              <w:overflowPunct/>
              <w:autoSpaceDE/>
              <w:autoSpaceDN/>
              <w:adjustRightInd w:val="0"/>
              <w:snapToGrid w:val="0"/>
              <w:spacing w:line="320" w:lineRule="exact"/>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1</w:t>
            </w:r>
            <w:r>
              <w:rPr>
                <w:rFonts w:hint="default" w:ascii="Times New Roman" w:hAnsi="Times New Roman" w:eastAsia="FangSong_GB2312" w:cs="Times New Roman"/>
                <w:snapToGrid/>
                <w:color w:val="auto"/>
                <w:spacing w:val="0"/>
                <w:kern w:val="2"/>
                <w:sz w:val="24"/>
                <w:lang w:val="en-US" w:eastAsia="zh-CN"/>
              </w:rPr>
              <w:t>.</w:t>
            </w:r>
            <w:r>
              <w:rPr>
                <w:rFonts w:hint="default" w:ascii="Times New Roman" w:hAnsi="Times New Roman" w:eastAsia="FangSong_GB2312" w:cs="Times New Roman"/>
                <w:snapToGrid/>
                <w:color w:val="auto"/>
                <w:spacing w:val="0"/>
                <w:kern w:val="2"/>
                <w:sz w:val="24"/>
              </w:rPr>
              <w:t>负责该课程的师资好。具有国家级师资得4分、省级师资得3分、市级师资得2分、区级师资得1分（每项课程只选最高级别师资评分、每位教师只能参与一项课程评分。以提供负责该项课程的师资级别证明资料、发证机关办公电话为准，否则无效）。</w:t>
            </w:r>
          </w:p>
          <w:p>
            <w:pPr>
              <w:overflowPunct/>
              <w:autoSpaceDE/>
              <w:autoSpaceDN/>
              <w:adjustRightInd w:val="0"/>
              <w:snapToGrid w:val="0"/>
              <w:spacing w:line="320" w:lineRule="exact"/>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2</w:t>
            </w:r>
            <w:r>
              <w:rPr>
                <w:rFonts w:hint="default" w:ascii="Times New Roman" w:hAnsi="Times New Roman" w:eastAsia="FangSong_GB2312" w:cs="Times New Roman"/>
                <w:snapToGrid/>
                <w:color w:val="auto"/>
                <w:spacing w:val="0"/>
                <w:kern w:val="2"/>
                <w:sz w:val="24"/>
                <w:lang w:val="en-US" w:eastAsia="zh-CN"/>
              </w:rPr>
              <w:t>.</w:t>
            </w:r>
            <w:r>
              <w:rPr>
                <w:rFonts w:hint="default" w:ascii="Times New Roman" w:hAnsi="Times New Roman" w:eastAsia="FangSong_GB2312" w:cs="Times New Roman"/>
                <w:snapToGrid/>
                <w:color w:val="auto"/>
                <w:spacing w:val="0"/>
                <w:kern w:val="2"/>
                <w:sz w:val="24"/>
              </w:rPr>
              <w:t>该课程的学员代表机构参加各级政府注册登记的专业协会和主管部门举办的专业竞赛或作品评比等活动中赛获奖多：国家级得4分、省级得3分、市级得2分、区级得1分（同一件作品或同一个节目只能取最高级别的1项计分，以提供获奖证书或奖牌、协会或主管部门办公电话为准，否则无效）；</w:t>
            </w:r>
          </w:p>
          <w:p>
            <w:pPr>
              <w:overflowPunct/>
              <w:autoSpaceDE/>
              <w:autoSpaceDN/>
              <w:adjustRightInd w:val="0"/>
              <w:snapToGrid w:val="0"/>
              <w:spacing w:line="320" w:lineRule="exact"/>
              <w:rPr>
                <w:rFonts w:hint="default" w:ascii="Times New Roman" w:hAnsi="Times New Roman" w:eastAsia="FangSong_GB2312" w:cs="Times New Roman"/>
                <w:snapToGrid/>
                <w:color w:val="auto"/>
                <w:spacing w:val="0"/>
                <w:kern w:val="2"/>
                <w:sz w:val="24"/>
              </w:rPr>
            </w:pPr>
          </w:p>
          <w:p>
            <w:pPr>
              <w:overflowPunct/>
              <w:autoSpaceDE/>
              <w:autoSpaceDN/>
              <w:adjustRightInd w:val="0"/>
              <w:snapToGrid w:val="0"/>
              <w:spacing w:line="320" w:lineRule="exact"/>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特别说明：</w:t>
            </w:r>
          </w:p>
          <w:p>
            <w:pPr>
              <w:overflowPunct/>
              <w:autoSpaceDE/>
              <w:autoSpaceDN/>
              <w:adjustRightInd w:val="0"/>
              <w:snapToGrid w:val="0"/>
              <w:spacing w:line="320" w:lineRule="exact"/>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1</w:t>
            </w:r>
            <w:r>
              <w:rPr>
                <w:rFonts w:hint="default" w:ascii="Times New Roman" w:hAnsi="Times New Roman" w:eastAsia="FangSong_GB2312" w:cs="Times New Roman"/>
                <w:snapToGrid/>
                <w:color w:val="auto"/>
                <w:spacing w:val="0"/>
                <w:kern w:val="2"/>
                <w:sz w:val="24"/>
                <w:lang w:val="en-US" w:eastAsia="zh-CN"/>
              </w:rPr>
              <w:t>.</w:t>
            </w:r>
            <w:r>
              <w:rPr>
                <w:rFonts w:hint="default" w:ascii="Times New Roman" w:hAnsi="Times New Roman" w:eastAsia="FangSong_GB2312" w:cs="Times New Roman"/>
                <w:snapToGrid/>
                <w:color w:val="auto"/>
                <w:spacing w:val="0"/>
                <w:kern w:val="2"/>
                <w:sz w:val="24"/>
              </w:rPr>
              <w:t>无论机构开设多少课程，都只能最多提供满足条件最优的5项课程参加评分。</w:t>
            </w:r>
          </w:p>
          <w:p>
            <w:pPr>
              <w:overflowPunct/>
              <w:autoSpaceDE/>
              <w:autoSpaceDN/>
              <w:adjustRightInd w:val="0"/>
              <w:snapToGrid w:val="0"/>
              <w:spacing w:line="320" w:lineRule="exact"/>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2、上述课程必须配备具有相关大专（或以上）学历或资质证书的老师（提供聘任合同和相关证明），否则无效。</w:t>
            </w:r>
          </w:p>
        </w:tc>
        <w:tc>
          <w:tcPr>
            <w:tcW w:w="1134" w:type="dxa"/>
            <w:noWrap w:val="0"/>
            <w:vAlign w:val="center"/>
          </w:tcPr>
          <w:p>
            <w:pPr>
              <w:overflowPunct/>
              <w:autoSpaceDE/>
              <w:autoSpaceDN/>
              <w:adjustRightInd/>
              <w:snapToGrid/>
              <w:spacing w:line="240" w:lineRule="auto"/>
              <w:jc w:val="center"/>
              <w:rPr>
                <w:rFonts w:hint="default" w:ascii="Times New Roman" w:hAnsi="Times New Roman" w:eastAsia="FangSong_GB2312" w:cs="Times New Roman"/>
                <w:snapToGrid/>
                <w:color w:val="auto"/>
                <w:spacing w:val="0"/>
                <w:kern w:val="2"/>
                <w:sz w:val="24"/>
              </w:rPr>
            </w:pPr>
          </w:p>
        </w:tc>
        <w:tc>
          <w:tcPr>
            <w:tcW w:w="1134" w:type="dxa"/>
            <w:vMerge w:val="continue"/>
            <w:noWrap w:val="0"/>
            <w:vAlign w:val="center"/>
          </w:tcPr>
          <w:p>
            <w:pPr>
              <w:overflowPunct/>
              <w:autoSpaceDE/>
              <w:autoSpaceDN/>
              <w:adjustRightInd/>
              <w:snapToGrid/>
              <w:spacing w:line="240" w:lineRule="auto"/>
              <w:jc w:val="center"/>
              <w:rPr>
                <w:rFonts w:hint="default" w:ascii="Times New Roman" w:hAnsi="Times New Roman" w:eastAsia="FangSong_GB2312" w:cs="Times New Roman"/>
                <w:snapToGrid/>
                <w:color w:val="auto"/>
                <w:spacing w:val="0"/>
                <w:kern w:val="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5" w:hRule="atLeast"/>
          <w:jc w:val="center"/>
        </w:trPr>
        <w:tc>
          <w:tcPr>
            <w:tcW w:w="1198" w:type="dxa"/>
            <w:noWrap w:val="0"/>
            <w:vAlign w:val="center"/>
          </w:tcPr>
          <w:p>
            <w:pPr>
              <w:overflowPunct/>
              <w:autoSpaceDE/>
              <w:autoSpaceDN/>
              <w:adjustRightInd/>
              <w:snapToGrid/>
              <w:spacing w:line="400" w:lineRule="exact"/>
              <w:ind w:left="0" w:leftChars="0" w:right="0" w:rightChars="0" w:firstLine="0" w:firstLineChars="0"/>
              <w:jc w:val="center"/>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服务方案</w:t>
            </w:r>
          </w:p>
        </w:tc>
        <w:tc>
          <w:tcPr>
            <w:tcW w:w="720" w:type="dxa"/>
            <w:noWrap w:val="0"/>
            <w:vAlign w:val="center"/>
          </w:tcPr>
          <w:p>
            <w:pPr>
              <w:overflowPunct/>
              <w:autoSpaceDE/>
              <w:autoSpaceDN/>
              <w:adjustRightInd/>
              <w:snapToGrid/>
              <w:spacing w:line="400" w:lineRule="exact"/>
              <w:jc w:val="center"/>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25</w:t>
            </w:r>
          </w:p>
        </w:tc>
        <w:tc>
          <w:tcPr>
            <w:tcW w:w="5695" w:type="dxa"/>
            <w:noWrap w:val="0"/>
            <w:vAlign w:val="center"/>
          </w:tcPr>
          <w:p>
            <w:pPr>
              <w:overflowPunct/>
              <w:autoSpaceDE/>
              <w:autoSpaceDN/>
              <w:adjustRightInd w:val="0"/>
              <w:snapToGrid w:val="0"/>
              <w:spacing w:line="320" w:lineRule="exact"/>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对各机构提交的校内课后服务方案进行比较评分，从体系搭建情况、投入人员情况、后勤保障、服务规范、服务承诺、服务经验、师资的稳定性、工作计划、工作内容、应急预案、创新服务模式等方面综合横向评比，优：22.5-25分；良：20—22分；中：17.5-21分；可：15-17分；差：15分以下。</w:t>
            </w:r>
          </w:p>
        </w:tc>
        <w:tc>
          <w:tcPr>
            <w:tcW w:w="1134" w:type="dxa"/>
            <w:noWrap w:val="0"/>
            <w:vAlign w:val="center"/>
          </w:tcPr>
          <w:p>
            <w:pPr>
              <w:overflowPunct/>
              <w:autoSpaceDE/>
              <w:autoSpaceDN/>
              <w:adjustRightInd/>
              <w:snapToGrid/>
              <w:spacing w:line="240" w:lineRule="auto"/>
              <w:jc w:val="center"/>
              <w:rPr>
                <w:rFonts w:hint="default" w:ascii="Times New Roman" w:hAnsi="Times New Roman" w:eastAsia="FangSong_GB2312" w:cs="Times New Roman"/>
                <w:snapToGrid/>
                <w:color w:val="auto"/>
                <w:spacing w:val="0"/>
                <w:kern w:val="2"/>
                <w:sz w:val="24"/>
              </w:rPr>
            </w:pPr>
          </w:p>
        </w:tc>
        <w:tc>
          <w:tcPr>
            <w:tcW w:w="1134" w:type="dxa"/>
            <w:vMerge w:val="continue"/>
            <w:noWrap w:val="0"/>
            <w:vAlign w:val="center"/>
          </w:tcPr>
          <w:p>
            <w:pPr>
              <w:overflowPunct/>
              <w:autoSpaceDE/>
              <w:autoSpaceDN/>
              <w:adjustRightInd/>
              <w:snapToGrid/>
              <w:spacing w:line="240" w:lineRule="auto"/>
              <w:jc w:val="center"/>
              <w:rPr>
                <w:rFonts w:hint="default" w:ascii="Times New Roman" w:hAnsi="Times New Roman" w:eastAsia="FangSong_GB2312" w:cs="Times New Roman"/>
                <w:snapToGrid/>
                <w:color w:val="auto"/>
                <w:spacing w:val="0"/>
                <w:kern w:val="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918" w:type="dxa"/>
            <w:gridSpan w:val="2"/>
            <w:noWrap w:val="0"/>
            <w:vAlign w:val="center"/>
          </w:tcPr>
          <w:p>
            <w:pPr>
              <w:overflowPunct/>
              <w:autoSpaceDE/>
              <w:autoSpaceDN/>
              <w:adjustRightInd/>
              <w:snapToGrid/>
              <w:spacing w:line="360" w:lineRule="exact"/>
              <w:jc w:val="center"/>
              <w:rPr>
                <w:rFonts w:hint="default" w:ascii="Times New Roman" w:hAnsi="Times New Roman" w:eastAsia="FangSong_GB2312" w:cs="Times New Roman"/>
                <w:snapToGrid/>
                <w:color w:val="auto"/>
                <w:spacing w:val="0"/>
                <w:kern w:val="2"/>
                <w:sz w:val="24"/>
              </w:rPr>
            </w:pPr>
            <w:r>
              <w:rPr>
                <w:rFonts w:hint="default" w:ascii="Times New Roman" w:hAnsi="Times New Roman" w:eastAsia="FangSong_GB2312" w:cs="Times New Roman"/>
                <w:snapToGrid/>
                <w:color w:val="auto"/>
                <w:spacing w:val="0"/>
                <w:kern w:val="2"/>
                <w:sz w:val="24"/>
              </w:rPr>
              <w:t>总分</w:t>
            </w:r>
          </w:p>
        </w:tc>
        <w:tc>
          <w:tcPr>
            <w:tcW w:w="7963" w:type="dxa"/>
            <w:gridSpan w:val="3"/>
            <w:noWrap w:val="0"/>
            <w:vAlign w:val="center"/>
          </w:tcPr>
          <w:p>
            <w:pPr>
              <w:overflowPunct/>
              <w:autoSpaceDE/>
              <w:autoSpaceDN/>
              <w:adjustRightInd/>
              <w:snapToGrid/>
              <w:spacing w:line="240" w:lineRule="auto"/>
              <w:jc w:val="center"/>
              <w:rPr>
                <w:rFonts w:hint="default" w:ascii="Times New Roman" w:hAnsi="Times New Roman" w:eastAsia="FangSong_GB2312" w:cs="Times New Roman"/>
                <w:snapToGrid/>
                <w:color w:val="auto"/>
                <w:spacing w:val="0"/>
                <w:kern w:val="2"/>
                <w:sz w:val="24"/>
              </w:rPr>
            </w:pPr>
          </w:p>
        </w:tc>
      </w:tr>
    </w:tbl>
    <w:p>
      <w:pPr>
        <w:spacing w:line="240" w:lineRule="auto"/>
        <w:ind w:firstLine="464" w:firstLineChars="200"/>
        <w:rPr>
          <w:rFonts w:hint="default" w:ascii="Times New Roman" w:hAnsi="Times New Roman" w:cs="Times New Roman"/>
          <w:sz w:val="22"/>
          <w:szCs w:val="20"/>
        </w:rPr>
      </w:pPr>
      <w:r>
        <w:rPr>
          <w:rFonts w:hint="default" w:ascii="Times New Roman" w:hAnsi="Times New Roman" w:cs="Times New Roman"/>
          <w:sz w:val="22"/>
          <w:szCs w:val="20"/>
        </w:rPr>
        <w:t>特别说明：</w:t>
      </w:r>
    </w:p>
    <w:p>
      <w:pPr>
        <w:spacing w:line="240" w:lineRule="auto"/>
        <w:ind w:firstLine="464" w:firstLineChars="200"/>
        <w:rPr>
          <w:rFonts w:hint="default" w:ascii="Times New Roman" w:hAnsi="Times New Roman" w:cs="Times New Roman"/>
          <w:sz w:val="22"/>
          <w:szCs w:val="20"/>
        </w:rPr>
      </w:pPr>
      <w:r>
        <w:rPr>
          <w:rFonts w:hint="default" w:ascii="Times New Roman" w:hAnsi="Times New Roman" w:cs="Times New Roman"/>
          <w:sz w:val="22"/>
          <w:szCs w:val="20"/>
        </w:rPr>
        <w:t>1.评审小组有可能对参评机构进行资格后审，包括实地考察、核实资料的真实性等，如发现有弄虚作假现象，则需承担一切法律责任、五年内取消入库资格。</w:t>
      </w:r>
    </w:p>
    <w:p>
      <w:pPr>
        <w:spacing w:line="240" w:lineRule="auto"/>
        <w:ind w:firstLine="464" w:firstLineChars="200"/>
        <w:rPr>
          <w:rFonts w:hint="default" w:ascii="Times New Roman" w:hAnsi="Times New Roman" w:cs="Times New Roman"/>
          <w:sz w:val="22"/>
          <w:szCs w:val="20"/>
        </w:rPr>
      </w:pPr>
      <w:r>
        <w:rPr>
          <w:rFonts w:hint="default" w:ascii="Times New Roman" w:hAnsi="Times New Roman" w:cs="Times New Roman"/>
          <w:sz w:val="22"/>
          <w:szCs w:val="20"/>
        </w:rPr>
        <w:t>2.请各机构按要求准备各种评审资料，如有缺漏，将会造成相关项目失分，后果自负。</w:t>
      </w:r>
    </w:p>
    <w:p>
      <w:pPr>
        <w:ind w:firstLine="464" w:firstLineChars="200"/>
      </w:pPr>
      <w:bookmarkStart w:id="0" w:name="_GoBack"/>
      <w:bookmarkEnd w:id="0"/>
      <w:r>
        <w:rPr>
          <w:rFonts w:hint="default" w:ascii="Times New Roman" w:hAnsi="Times New Roman" w:cs="Times New Roman"/>
          <w:sz w:val="22"/>
          <w:szCs w:val="20"/>
        </w:rPr>
        <w:t>3.“社保证明”指在社保机构出具的证明。</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公文小标宋简">
    <w:altName w:val="宋体"/>
    <w:panose1 w:val="02010609010101010101"/>
    <w:charset w:val="00"/>
    <w:family w:val="modern"/>
    <w:pitch w:val="default"/>
    <w:sig w:usb0="00000000" w:usb1="00000000" w:usb2="00000000" w:usb3="00000000" w:csb0="00040001" w:csb1="00000000"/>
  </w:font>
  <w:font w:name="FangSong_GB2312">
    <w:altName w:val="仿宋"/>
    <w:panose1 w:val="02010609060101010101"/>
    <w:charset w:val="86"/>
    <w:family w:val="modern"/>
    <w:pitch w:val="default"/>
    <w:sig w:usb0="00000000" w:usb1="0000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36" w:lineRule="auto"/>
      </w:pPr>
      <w:r>
        <w:separator/>
      </w:r>
    </w:p>
  </w:footnote>
  <w:footnote w:type="continuationSeparator" w:id="1">
    <w:p>
      <w:pPr>
        <w:spacing w:line="33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CF7D4F"/>
    <w:rsid w:val="34CF7D4F"/>
    <w:rsid w:val="40B56A22"/>
    <w:rsid w:val="54CF6B27"/>
    <w:rsid w:val="77594B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overflowPunct w:val="0"/>
      <w:autoSpaceDE w:val="0"/>
      <w:autoSpaceDN w:val="0"/>
      <w:adjustRightInd w:val="0"/>
      <w:snapToGrid w:val="0"/>
      <w:spacing w:line="336" w:lineRule="auto"/>
      <w:jc w:val="both"/>
    </w:pPr>
    <w:rPr>
      <w:rFonts w:ascii="Times New Roman" w:hAnsi="Times New Roman" w:eastAsia="仿宋_GB2312" w:cs="Times New Roman"/>
      <w:snapToGrid w:val="0"/>
      <w:spacing w:val="6"/>
      <w:kern w:val="32"/>
      <w:sz w:val="32"/>
      <w:szCs w:val="24"/>
      <w:lang w:val="en-US" w:eastAsia="zh-CN" w:bidi="ar-SA"/>
    </w:rPr>
  </w:style>
  <w:style w:type="paragraph" w:styleId="2">
    <w:name w:val="heading 3"/>
    <w:next w:val="1"/>
    <w:unhideWhenUsed/>
    <w:qFormat/>
    <w:uiPriority w:val="0"/>
    <w:pPr>
      <w:keepNext/>
      <w:keepLines/>
      <w:widowControl w:val="0"/>
      <w:spacing w:before="1000" w:after="400"/>
      <w:jc w:val="center"/>
      <w:outlineLvl w:val="2"/>
    </w:pPr>
    <w:rPr>
      <w:rFonts w:ascii="公文小标宋简" w:hAnsi="Times New Roman" w:eastAsia="公文小标宋简" w:cs="Times New Roman"/>
      <w:kern w:val="2"/>
      <w:sz w:val="44"/>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2022-02-18T04:24:00Z</dcterms:created>
  <dc:creator>天天天晴</dc:creator>
  <cp:lastModifiedBy>Administrator</cp:lastModifiedBy>
  <dcterms:modified xsi:type="dcterms:W3CDTF">2023-01-09T02:58:56Z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07A5D515E2844B868B832AE80B093F6D</vt:lpwstr>
  </property>
</Properties>
</file>