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442000108-2023-00014</w:t>
      </w:r>
    </w:p>
    <w:p>
      <w:pPr>
        <w:jc w:val="center"/>
      </w:pPr>
      <w:r>
        <w:rPr>
          <w:b/>
          <w:sz w:val="24"/>
        </w:rPr>
        <w:t>采购项目编号：</w:t>
      </w:r>
      <w:r>
        <w:rPr>
          <w:b/>
          <w:sz w:val="24"/>
        </w:rPr>
        <w:t>442000108-2023-00014</w:t>
      </w:r>
    </w:p>
    <w:p>
      <w:pPr>
        <w:jc w:val="center"/>
      </w:pPr>
      <w:r>
        <w:rPr>
          <w:b/>
          <w:sz w:val="24"/>
        </w:rPr>
        <w:t>项目名称：</w:t>
      </w:r>
      <w:r>
        <w:rPr>
          <w:b/>
          <w:sz w:val="24"/>
        </w:rPr>
        <w:t>港口镇迎富三路农路工程</w:t>
      </w:r>
    </w:p>
    <w:p>
      <w:pPr>
        <w:jc w:val="center"/>
      </w:pPr>
      <w:r>
        <w:rPr>
          <w:b/>
          <w:sz w:val="24"/>
        </w:rPr>
        <w:t>采购人：</w:t>
      </w:r>
      <w:r>
        <w:rPr>
          <w:b/>
          <w:sz w:val="24"/>
        </w:rPr>
        <w:t>中山市港口镇农业农村局</w:t>
      </w:r>
    </w:p>
    <w:p>
      <w:pPr>
        <w:jc w:val="center"/>
      </w:pPr>
      <w:r>
        <w:rPr>
          <w:b/>
          <w:sz w:val="24"/>
        </w:rPr>
        <w:t>采购代理机构：</w:t>
      </w:r>
      <w:r>
        <w:rPr>
          <w:b/>
          <w:sz w:val="24"/>
        </w:rPr>
        <w:t>广东人信工程咨询有限公司中山分公司</w:t>
      </w:r>
    </w:p>
    <w:p>
      <w:pPr>
        <w:ind w:firstLine="480"/>
      </w:pPr>
    </w:p>
    <w:p>
      <w:r>
        <w:rPr/>
        <w:t xml:space="preserve"> </w:t>
      </w:r>
    </w:p>
    <w:p/>
    <w:p>
      <w:pPr>
        <w:jc w:val="center"/>
      </w:pPr>
      <w:r>
        <w:rPr>
          <w:b/>
          <w:sz w:val="36"/>
        </w:rPr>
        <w:t>第一章 磋商邀请</w:t>
      </w:r>
    </w:p>
    <w:p>
      <w:pPr>
        <w:ind w:firstLine="480"/>
      </w:pPr>
      <w:r>
        <w:rPr/>
        <w:t>广东人信工程咨询有限公司中山分公司</w:t>
      </w:r>
      <w:r>
        <w:rPr/>
        <w:t>受</w:t>
      </w:r>
      <w:r>
        <w:rPr/>
        <w:t>中山市港口镇农业农村局</w:t>
      </w:r>
      <w:r>
        <w:rPr/>
        <w:t>的委托，采用</w:t>
      </w:r>
      <w:r>
        <w:rPr/>
        <w:t>竞争性磋商</w:t>
      </w:r>
      <w:r>
        <w:rPr/>
        <w:t>方式组织采购</w:t>
      </w:r>
      <w:r>
        <w:rPr/>
        <w:t>港口镇迎富三路农路工程</w:t>
      </w:r>
      <w:r>
        <w:rPr/>
        <w:t>。欢迎符合资格条件的供应商参加。</w:t>
      </w:r>
    </w:p>
    <w:p>
      <w:r>
        <w:rPr>
          <w:b/>
          <w:sz w:val="28"/>
        </w:rPr>
        <w:t>一.项目概述</w:t>
      </w:r>
    </w:p>
    <w:p>
      <w:r>
        <w:rPr>
          <w:b/>
          <w:sz w:val="24"/>
        </w:rPr>
        <w:t>1.名称与编号</w:t>
      </w:r>
    </w:p>
    <w:p>
      <w:pPr>
        <w:ind w:firstLine="480"/>
      </w:pPr>
      <w:r>
        <w:rPr/>
        <w:t>采购项目名称：</w:t>
      </w:r>
      <w:r>
        <w:rPr/>
        <w:t>港口镇迎富三路农路工程</w:t>
      </w:r>
    </w:p>
    <w:p>
      <w:pPr>
        <w:ind w:firstLine="480"/>
      </w:pPr>
      <w:r>
        <w:rPr/>
        <w:t>采购计划编号：</w:t>
      </w:r>
      <w:r>
        <w:rPr/>
        <w:t>442000108-2023-00014</w:t>
      </w:r>
    </w:p>
    <w:p>
      <w:pPr>
        <w:ind w:firstLine="480"/>
      </w:pPr>
      <w:r>
        <w:rPr/>
        <w:t>采购项目编号：</w:t>
      </w:r>
      <w:r>
        <w:rPr/>
        <w:t>442000108-2023-00014</w:t>
      </w:r>
    </w:p>
    <w:p>
      <w:pPr>
        <w:ind w:firstLine="480"/>
      </w:pPr>
      <w:r>
        <w:rPr/>
        <w:t>采购方式：</w:t>
      </w:r>
      <w:r>
        <w:rPr/>
        <w:t>竞争性磋商</w:t>
      </w:r>
    </w:p>
    <w:p>
      <w:pPr>
        <w:ind w:firstLine="480"/>
      </w:pPr>
      <w:r>
        <w:rPr/>
        <w:t>预算金额：</w:t>
      </w:r>
      <w:r>
        <w:rPr/>
        <w:t>1,965,355.76</w:t>
      </w:r>
      <w:r>
        <w:rPr/>
        <w:t>元</w:t>
      </w:r>
    </w:p>
    <w:p>
      <w:r>
        <w:rPr>
          <w:b/>
          <w:sz w:val="24"/>
        </w:rPr>
        <w:t>2.项目内容及需求情况（采购项目技术规格、参数及要求）</w:t>
      </w:r>
    </w:p>
    <w:p>
      <w:pPr>
        <w:ind w:firstLine="480"/>
      </w:pPr>
    </w:p>
    <w:p/>
    <w:p>
      <w:r>
        <w:rPr/>
        <w:t>采购包1(港口镇迎富三路农路工程):</w:t>
      </w:r>
    </w:p>
    <w:p>
      <w:r>
        <w:rPr/>
        <w:t>采购包预算金额：1,965,355.76元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港口镇迎富三路农路工程</w:t>
            </w:r>
          </w:p>
        </w:tc>
        <w:tc>
          <w:tcPr>
            <w:tcW w:type="dxa" w:w="977"/>
          </w:tcPr>
          <w:p>
            <w:r>
              <w:rPr/>
              <w:t>1.0000(项)</w:t>
            </w:r>
          </w:p>
        </w:tc>
        <w:tc>
          <w:tcPr>
            <w:tcW w:type="dxa" w:w="977"/>
          </w:tcPr>
          <w:p>
            <w:r>
              <w:rPr/>
              <w:t>详见第二章</w:t>
            </w:r>
          </w:p>
        </w:tc>
        <w:tc>
          <w:tcPr>
            <w:tcW w:type="dxa" w:w="977"/>
          </w:tcPr>
          <w:p>
            <w:r>
              <w:rPr/>
              <w:t>1,965,355.76</w:t>
            </w:r>
          </w:p>
        </w:tc>
        <w:tc>
          <w:tcPr>
            <w:tcW w:type="dxa" w:w="977"/>
          </w:tcPr>
          <w:p>
            <w:r>
              <w:rPr/>
              <w:t>否</w:t>
            </w:r>
          </w:p>
        </w:tc>
      </w:tr>
    </w:tbl>
    <w:p/>
    <w:p>
      <w:r>
        <w:rPr/>
        <w:t>本采购包不接受联合体响应</w:t>
      </w:r>
    </w:p>
    <w:p/>
    <w:p>
      <w:r>
        <w:rPr/>
        <w:t>合同履行期限：详见第二章 采购需求 合同履行期限。</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w:t>
      </w:r>
    </w:p>
    <w:p/>
    <w:p>
      <w:r>
        <w:rPr/>
        <w:t>2）有依法缴纳税收和社会保障资金的良好记录：2022年7月1日以来任意1个月依法缴纳税收和社会保障资金的相关材料。如依法免税或不需要缴纳社会保障资金的，提供相应证明材料。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以来任一年度财务状况报告或提供磋商截止日前6个月内任意1个月的财务报表或基本开户行出具的资信证明）。</w:t>
      </w:r>
    </w:p>
    <w:p/>
    <w:p>
      <w:r>
        <w:rPr/>
        <w:t>4）履行合同所必需的设备和专业技术能力：按投标（响应）文件格式填报设备及专业技术能力情况。在表格中同时填报设备及专业技术能力（人员）两类信息。</w:t>
      </w:r>
    </w:p>
    <w:p/>
    <w:p>
      <w:r>
        <w:rPr/>
        <w:t>5）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采购包1（港口镇迎富三路农路工程）：</w:t>
      </w:r>
      <w:r>
        <w:rPr/>
        <w:t>采购包整体专门面向中小企业，供应商须为中型或小型或微型企业或监狱企业或残疾人福利性单位。(供应商为中小微企业的，提供《中小企业声明函》。供应商为监狱企业的，提供由省级以上监狱管理局、戒毒管理局（含新疆生产建设兵团）出具的属于监狱企业的证明文件。供应商为残疾人福利性单位的，提供《残疾人福利性单位声明函》。)</w:t>
      </w:r>
    </w:p>
    <w:p/>
    <w:p>
      <w:r>
        <w:rPr>
          <w:b/>
          <w:sz w:val="24"/>
        </w:rPr>
        <w:t>3.本项目特定的资格要求：</w:t>
      </w:r>
    </w:p>
    <w:p>
      <w:pPr>
        <w:ind w:firstLine="480"/>
      </w:pPr>
    </w:p>
    <w:p/>
    <w:p>
      <w:r>
        <w:rPr/>
        <w:t>采购包1（港口镇迎富三路农路工程）：</w:t>
      </w:r>
    </w:p>
    <w:p/>
    <w:p>
      <w:r>
        <w:rPr/>
        <w:t>1)供应商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w:t>
      </w:r>
    </w:p>
    <w:p/>
    <w:p>
      <w:r>
        <w:rPr/>
        <w:t>3)①本采购包不接受联合体响应。②供应商须具有有效的市政公用工程施工总承包三级或以上资质，且具有有效的安全生产许可证（提供资质证书和安全生产许可证复印件并加盖公章,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磋商文件规定的，则视为仍然有效。）</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中山市政府采购网(http://120.234.108.5:8088/zfcg/)，中山市公共资源交易网（https://ggzyjy.zs.gov.cn/），中山市港口镇政府网（http://www.zs.gov.cn/gkz/），广东人信工程咨询有限公司网站（http://www.gdrxzx.com/）</w:t>
      </w:r>
    </w:p>
    <w:p>
      <w:r>
        <w:rPr>
          <w:b/>
          <w:sz w:val="28"/>
        </w:rPr>
        <w:t>六.本项目联系方式：</w:t>
      </w:r>
    </w:p>
    <w:p>
      <w:r>
        <w:rPr>
          <w:b/>
          <w:sz w:val="24"/>
        </w:rPr>
        <w:t>1.采购人信息</w:t>
      </w:r>
    </w:p>
    <w:p>
      <w:pPr>
        <w:ind w:firstLine="480"/>
      </w:pPr>
      <w:r>
        <w:rPr/>
        <w:t>名称：</w:t>
      </w:r>
      <w:r>
        <w:rPr/>
        <w:t>中山市港口镇农业农村局</w:t>
      </w:r>
    </w:p>
    <w:p>
      <w:pPr>
        <w:ind w:firstLine="480"/>
      </w:pPr>
      <w:r>
        <w:rPr/>
        <w:t>地址：</w:t>
      </w:r>
      <w:r>
        <w:rPr/>
        <w:t>中山市港口镇兴港中路100号行政服务中心402</w:t>
      </w:r>
    </w:p>
    <w:p>
      <w:pPr>
        <w:ind w:firstLine="480"/>
      </w:pPr>
      <w:r>
        <w:rPr/>
        <w:t>联系方式：</w:t>
      </w:r>
      <w:r>
        <w:rPr/>
        <w:t>0760-88402225</w:t>
      </w:r>
    </w:p>
    <w:p>
      <w:r>
        <w:rPr>
          <w:b/>
          <w:sz w:val="24"/>
        </w:rPr>
        <w:t>2.采购代理机构信息</w:t>
      </w:r>
    </w:p>
    <w:p>
      <w:pPr>
        <w:ind w:firstLine="480"/>
      </w:pPr>
      <w:r>
        <w:rPr/>
        <w:t>名称：</w:t>
      </w:r>
      <w:r>
        <w:rPr/>
        <w:t>广东人信工程咨询有限公司中山分公司</w:t>
      </w:r>
    </w:p>
    <w:p>
      <w:pPr>
        <w:ind w:firstLine="480"/>
      </w:pPr>
      <w:r>
        <w:rPr/>
        <w:t>地址：</w:t>
      </w:r>
      <w:r>
        <w:rPr/>
        <w:t>中山火炬开发区孙文东路濠头段12号光裕大厦第五层A区</w:t>
      </w:r>
    </w:p>
    <w:p>
      <w:pPr>
        <w:ind w:firstLine="480"/>
      </w:pPr>
      <w:r>
        <w:rPr/>
        <w:t>联系方式：</w:t>
      </w:r>
      <w:r>
        <w:rPr/>
        <w:t>0760-88838718</w:t>
      </w:r>
    </w:p>
    <w:p>
      <w:r>
        <w:rPr>
          <w:b/>
          <w:sz w:val="24"/>
        </w:rPr>
        <w:t>3.项目联系方式</w:t>
      </w:r>
    </w:p>
    <w:p>
      <w:pPr>
        <w:ind w:firstLine="480"/>
      </w:pPr>
      <w:r>
        <w:rPr/>
        <w:t>项目联系人：</w:t>
      </w:r>
      <w:r>
        <w:rPr/>
        <w:t>黄小姐</w:t>
      </w:r>
    </w:p>
    <w:p>
      <w:pPr>
        <w:ind w:firstLine="480"/>
      </w:pPr>
      <w:r>
        <w:rPr/>
        <w:t>电话：</w:t>
      </w:r>
      <w:r>
        <w:rPr/>
        <w:t>0760-88838718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广东人信工程咨询有限公司中山分公司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本次磋商的项目及范围为 ： 港口镇迎富三路农路工程。 （ 供应商必须对项目内全部内容进行报价， 不允许只对项目内部分内容进行报价。）</w:t>
      </w:r>
    </w:p>
    <w:p>
      <w:r>
        <w:rPr>
          <w:b/>
          <w:sz w:val="21"/>
        </w:rPr>
        <w:t>二、总则</w:t>
      </w:r>
    </w:p>
    <w:p>
      <w:r>
        <w:rPr>
          <w:sz w:val="21"/>
        </w:rPr>
        <w:t>(一) 本项目确定1名成交人。</w:t>
      </w:r>
    </w:p>
    <w:p>
      <w:r>
        <w:rPr>
          <w:sz w:val="21"/>
        </w:rPr>
        <w:t>(二)</w:t>
      </w:r>
      <w:r>
        <w:rPr>
          <w:sz w:val="21"/>
        </w:rPr>
        <w:t>成交人不得再以任何方式转包或分包本项目。</w:t>
      </w:r>
    </w:p>
    <w:p>
      <w:r>
        <w:rPr>
          <w:sz w:val="21"/>
        </w:rPr>
        <w:t>(三)磋商文件中凡标有“★”的地方均被视为重要的指标要求。供应商要特别加以注意，必须对此具体、明确响应并完全满足或优于这些要求。否则若有一项带“★”的指标未响应或不满足，将视为非实质性响应磋商文件要求。</w:t>
      </w:r>
    </w:p>
    <w:p>
      <w:r>
        <w:rPr>
          <w:sz w:val="21"/>
        </w:rPr>
        <w:t>(四) 响应文件格式的《技术和服务要求响应表》中“磋商文件规定的技术和服务要求”项下填写的内容应与磋商文件第二章采购需求的“技术要求”的内容保持一致。《商务条件响应表》中“磋商文件规定的商务条件”项下填写的内容应与磋商文件第二章采购需求的“商务要求”的内容保持一致。供应商应当如实填写各表中“响应文件响应的具体内容”处内容，对采购文件提出的要求和条件作出明确响应，并列明具体响应数值或内容。</w:t>
      </w:r>
    </w:p>
    <w:p>
      <w:r>
        <w:rPr>
          <w:sz w:val="21"/>
        </w:rPr>
        <w:t>(五)本项目属性为工程类。</w:t>
      </w:r>
    </w:p>
    <w:p>
      <w:r>
        <w:rPr>
          <w:sz w:val="21"/>
        </w:rPr>
        <w:t>(六)</w:t>
      </w:r>
      <w:r>
        <w:rPr>
          <w:b/>
          <w:sz w:val="21"/>
        </w:rPr>
        <w:t>本项目采购标的对应的中小企业划分标准所属行业：建筑业。</w:t>
      </w:r>
    </w:p>
    <w:p>
      <w:r>
        <w:rPr>
          <w:sz w:val="21"/>
        </w:rPr>
        <w:t>(七) 各供应商应结合相关文件及现场情况，充分考虑影响因素后进行报价。</w:t>
      </w:r>
    </w:p>
    <w:p>
      <w:r>
        <w:rPr>
          <w:sz w:val="21"/>
        </w:rPr>
        <w:t>(八)现场勘察：本项目不组织现场勘察，各供应商可自行到施工现场进行勘察，但所产生的一切费用和可能会发生的事故责任由各供应商自行承担，采购人和采购代理机构不在责任范围之内，现场勘察须得到采购人的同意方可进行。</w:t>
      </w:r>
    </w:p>
    <w:p>
      <w:r>
        <w:rPr>
          <w:sz w:val="21"/>
        </w:rPr>
        <w:t>(九)本项目成交人承担及负责磋商文件、工程量清单、图纸对成交人要求的一切事宜及责任。</w:t>
      </w:r>
    </w:p>
    <w:p>
      <w:r>
        <w:rPr>
          <w:sz w:val="21"/>
        </w:rPr>
        <w:t>(十)供应商须在响应文件中按照工程量清单提供报价。</w:t>
      </w:r>
    </w:p>
    <w:p/>
    <w:p>
      <w:r>
        <w:rPr>
          <w:b/>
          <w:sz w:val="21"/>
        </w:rPr>
        <w:t>三、工程概况</w:t>
      </w:r>
    </w:p>
    <w:p>
      <w:r>
        <w:rPr>
          <w:sz w:val="21"/>
        </w:rPr>
        <w:t>(一)为全面贯彻乡村振兴战略，持续完善港口镇农路路网，为方便石特社区群众的交通出行以及应石特社区的建设请求,现计划实施港口镇迎富三路农路工程。工程起点终点顺接现状道路，道路设计长581米，本期新建道路 5米</w:t>
      </w:r>
      <w:r>
        <w:rPr>
          <w:sz w:val="21"/>
        </w:rPr>
        <w:t>宽</w:t>
      </w:r>
      <w:r>
        <w:rPr>
          <w:sz w:val="21"/>
        </w:rPr>
        <w:t>，余宽均回填土方与新建路面顺接。工程包含新建道路基层（即只施工至水泥稳定层，不浇筑混凝土面层），新建污水管，新建污水井，新建路灯等设施等工程。</w:t>
      </w:r>
      <w:r>
        <w:rPr>
          <w:sz w:val="21"/>
        </w:rPr>
        <w:t>(采购需求书中的工程概况与设计图纸中项目概况不一致的，以本采购需求中的概况为准)</w:t>
      </w:r>
    </w:p>
    <w:p>
      <w:r>
        <w:rPr>
          <w:sz w:val="21"/>
        </w:rPr>
        <w:t>(二)主要工程内容具体详见工程量清单、图纸、磋商文件要求。</w:t>
      </w:r>
    </w:p>
    <w:p>
      <w:r>
        <w:rPr>
          <w:b/>
          <w:sz w:val="21"/>
        </w:rPr>
        <w:t>四、工程量清单及图纸</w:t>
      </w:r>
    </w:p>
    <w:p>
      <w:pPr>
        <w:ind w:firstLine="315"/>
      </w:pPr>
      <w:r>
        <w:rPr>
          <w:sz w:val="21"/>
        </w:rPr>
        <w:t>详见附件工程量清单及图纸。</w:t>
      </w:r>
    </w:p>
    <w:p/>
    <w:p>
      <w:pPr>
        <w:ind w:firstLine="480"/>
      </w:pPr>
    </w:p>
    <w:p/>
    <w:p>
      <w:r>
        <w:rPr/>
        <w:t>采购包1（港口镇迎富三路农路工程）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本工程施工工期为75个日历天（含国家法定假期，具体开工时间以采购人（或监理）发出的开工通知为准）。</w:t>
            </w:r>
          </w:p>
        </w:tc>
      </w:tr>
      <w:tr>
        <w:tc>
          <w:tcPr>
            <w:tcW w:type="dxa" w:w="4153"/>
          </w:tcPr>
          <w:p>
            <w:r>
              <w:rPr/>
              <w:t>标的提供的地点</w:t>
            </w:r>
          </w:p>
        </w:tc>
        <w:tc>
          <w:tcPr>
            <w:tcW w:type="dxa" w:w="4153"/>
          </w:tcPr>
          <w:p/>
          <w:p>
            <w:r>
              <w:rPr/>
              <w:t>中山市港口镇</w:t>
            </w:r>
          </w:p>
        </w:tc>
      </w:tr>
      <w:tr>
        <w:tc>
          <w:tcPr>
            <w:tcW w:type="dxa" w:w="4153"/>
          </w:tcPr>
          <w:p>
            <w:r>
              <w:rPr/>
              <w:t>付款方式</w:t>
            </w:r>
          </w:p>
        </w:tc>
        <w:tc>
          <w:tcPr>
            <w:tcW w:type="dxa" w:w="4153"/>
          </w:tcPr>
          <w:p/>
          <w:p/>
          <w:p>
            <w:r>
              <w:rPr/>
              <w:t>1期：支付比例100%,1.本工程预付款为成交金额的30%,采购人与成交人签订合同后，成交人提交与预付款等额的保函，方可向采购人申请预付工程款，采购人在收到保函后按相关支付程序拨付款项。预付款在工程进度款中抵扣。工程进度款的支付按每月实际完成工程量并经本工程的监理单位核实且相关资料完备后，工程施工进度款按当月完成工程价款的80%支付【注: (1)具体支付比例按请款时港口镇的相关文件为准；(2)第一期工程进度款须扣除预付款后进行支付】，工程竣工(交工)验收后支付至合同价款的80%（注：具体支付比例按请款时港口镇的相关文件为准），工程结算后支付至工程价款结算总额的97%，保留3%工程质量保证金，余款在一年内付清，质量保证金待工程缺陷责任期满后无息清算。 2.本工程的工程款结算实行合同总价包干(成交人最终报价为包干价)。除采购人因故提出对工程进行设计修改并工程结算审核通过的情况外，采购人不再增加本项目费用。工程变更的调整办法规定如下: (1)合同中已有适用于变更工程的单价或总价，按合同已有的价格进行调整； (2)合同中只有类似于变更工程的单价或总价，可以参照类似价格进行调整； (3)合同中没有适用或类似于变更工程的单价或总价，由成交人依据变更工程资料、计量规则和计价办法，工程造价管理机构发布的参考价格和成交报价浮动率提出变更工程单价或总价。变更、修改设计的工程内容成交人不得拒绝承担，所增减工程的工程量不超过成交工程量的10%，工期不作调整。如因设计、规划调整变更等原因，采购人有权调整采购范围和内容。 3.工程的工程量增减和工程最终结算价以财政局核定的结算复核价为准。 4.成交人在开工前必须完善开工手续，否则采购人有权拒付工程进度款。 5.成交人在每次收取工程款时须向采购人出具相同请款额度的税务发票，并自行完税。 6.因采购人使用的是财政资金，采购人在合同规定的付款时间为向政府采购支付部门提出办理财政支付申请手续的时间（不含政府财政支付部门审核的时间），在规定时间内提出支付申请手续后即视为采购人已经按期支付。如因政策影响使拨款未能及时到位的，成交人不得以此为由而不履行(或不完全履行)合同规定的义务。</w:t>
            </w:r>
          </w:p>
        </w:tc>
      </w:tr>
      <w:tr>
        <w:tc>
          <w:tcPr>
            <w:tcW w:type="dxa" w:w="4153"/>
          </w:tcPr>
          <w:p>
            <w:r>
              <w:rPr/>
              <w:t>验收要求</w:t>
            </w:r>
          </w:p>
        </w:tc>
        <w:tc>
          <w:tcPr>
            <w:tcW w:type="dxa" w:w="4153"/>
          </w:tcPr>
          <w:p/>
          <w:p/>
          <w:p/>
          <w:p>
            <w:r>
              <w:rPr/>
              <w:t>1期：本工程严格按国家、省、市现行的质量评定标准和施工验收规范、规程进行施工和验收。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报价说明，★(1)本项目预算金额为1965355.76元（大写：人民币壹佰玖拾陆万伍仟叁佰伍拾伍元柒角陆分），按照中介预算下浮10%作为最高限价，即最高限价为1768820.18元（计算：1965355.76元×（1-10%）=1768820.18元），供应商的报价不得高于项目最高限价，否则视为无效报价，其中绿色施工安全防护措施费(不含税)报价不得低于103508.65元，否则视为无效报价。 (2)成交人负责磋商文件对成交人要求的一切事宜及责任，以及合同履行过程中的应预见和不可预见的一切费用。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港口镇迎富三路农路工程</w:t>
            </w:r>
          </w:p>
        </w:tc>
        <w:tc>
          <w:tcPr>
            <w:tcW w:type="dxa" w:w="933"/>
          </w:tcPr>
          <w:p>
            <w:pPr>
              <w:jc w:val="left"/>
            </w:pPr>
            <w:r>
              <w:rPr/>
              <w:t>项</w:t>
            </w:r>
          </w:p>
        </w:tc>
        <w:tc>
          <w:tcPr>
            <w:tcW w:type="dxa" w:w="933"/>
          </w:tcPr>
          <w:p>
            <w:pPr>
              <w:jc w:val="right"/>
            </w:pPr>
            <w:r>
              <w:rPr/>
              <w:t>1.00</w:t>
            </w:r>
          </w:p>
        </w:tc>
        <w:tc>
          <w:tcPr>
            <w:tcW w:type="dxa" w:w="933"/>
          </w:tcPr>
          <w:p>
            <w:pPr>
              <w:jc w:val="right"/>
            </w:pPr>
            <w:r>
              <w:rPr/>
              <w:t>1,965,355.76</w:t>
            </w:r>
          </w:p>
        </w:tc>
        <w:tc>
          <w:tcPr>
            <w:tcW w:type="dxa" w:w="933"/>
          </w:tcPr>
          <w:p>
            <w:pPr>
              <w:jc w:val="right"/>
            </w:pPr>
            <w:r>
              <w:rPr/>
              <w:t>1,965,355.76</w:t>
            </w:r>
          </w:p>
        </w:tc>
        <w:tc>
          <w:tcPr>
            <w:tcW w:type="dxa" w:w="840"/>
          </w:tcPr>
          <w:p>
            <w:r>
              <w:rPr/>
              <w:t>建筑业</w:t>
            </w:r>
          </w:p>
        </w:tc>
        <w:tc>
          <w:tcPr>
            <w:tcW w:type="dxa" w:w="933"/>
          </w:tcPr>
          <w:p>
            <w:r>
              <w:rPr/>
              <w:t>详见附表一</w:t>
            </w:r>
          </w:p>
        </w:tc>
      </w:tr>
    </w:tbl>
    <w:p/>
    <w:p>
      <w:r>
        <w:rPr>
          <w:b/>
        </w:rPr>
        <w:t>附表</w:t>
      </w:r>
      <w:r>
        <w:rPr>
          <w:b/>
        </w:rPr>
        <w:t>一</w:t>
      </w:r>
      <w:r>
        <w:rPr>
          <w:b/>
        </w:rPr>
        <w:t>：</w:t>
      </w:r>
      <w:r>
        <w:rPr>
          <w:b/>
        </w:rPr>
        <w:t>港口镇迎富三路农路工程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（一）材料要求</w:t>
            </w:r>
          </w:p>
          <w:p>
            <w:r>
              <w:rPr>
                <w:sz w:val="21"/>
              </w:rPr>
              <w:t>1.采购范围之内工程所用之材料，主要材料品质必须经过采购人审查确认再由成交人自行采购。采购的材料必须满足设计、国家的有关技术标准。</w:t>
            </w:r>
          </w:p>
          <w:p>
            <w:r>
              <w:rPr>
                <w:sz w:val="21"/>
              </w:rPr>
              <w:t>2.本工程选用的材料和设备必须符合国家、省、市的有关规定，并满足磋商文件、工程量清单和图纸的要求。</w:t>
            </w:r>
          </w:p>
          <w:p>
            <w:r>
              <w:rPr>
                <w:sz w:val="21"/>
              </w:rPr>
              <w:t>3.采购人保留对本工程使用之各种材料品质审查确认的权利，并有权变更所用材料。</w:t>
            </w:r>
          </w:p>
          <w:p>
            <w:r>
              <w:rPr>
                <w:sz w:val="21"/>
              </w:rPr>
              <w:t>4.中介预算指出的品牌、型号、制造商仅起说明作用，仅供参考，并没有任何限制性。供应商可以提供相应其他品牌，但所替代品牌必须优于或相当于磋商文件或中介预算所列标准。</w:t>
            </w:r>
          </w:p>
        </w:tc>
      </w:tr>
      <w:tr>
        <w:tc>
          <w:tcPr>
            <w:tcW w:type="dxa" w:w="2076"/>
          </w:tcPr>
          <w:p/>
        </w:tc>
        <w:tc>
          <w:tcPr>
            <w:tcW w:type="dxa" w:w="415"/>
          </w:tcPr>
          <w:p>
            <w:r>
              <w:rPr/>
              <w:t>2</w:t>
            </w:r>
          </w:p>
        </w:tc>
        <w:tc>
          <w:tcPr>
            <w:tcW w:type="dxa" w:w="5814"/>
          </w:tcPr>
          <w:p>
            <w:r>
              <w:rPr>
                <w:sz w:val="21"/>
              </w:rPr>
              <w:t>（二）工程量需求</w:t>
            </w:r>
          </w:p>
          <w:p>
            <w:r>
              <w:rPr>
                <w:sz w:val="21"/>
              </w:rPr>
              <w:t>1.具体要求详见本项目工程量清单、图纸及磋商文件要求。如果成交人在成交并签署合同后，在施工等工作中出现任何遗漏，均由成交人负责，采购人将不再支付任何费用。</w:t>
            </w:r>
          </w:p>
          <w:p>
            <w:r>
              <w:rPr>
                <w:sz w:val="21"/>
              </w:rPr>
              <w:t>2.本项目采用总价承包方式，对采购人提供的工程量清单、图纸中要求的全部内容进行报价。供应商的报价包括工程项目所包含的所有费用以及由成交人承担的义务、责任和风险等所发生的一切费用。除设计变更及采购人增减工程量外，成交价将不予调整。</w:t>
            </w:r>
          </w:p>
          <w:p>
            <w:r>
              <w:rPr>
                <w:sz w:val="21"/>
              </w:rPr>
              <w:t>3.供应商对磋商文件和工程量等有疑问，应以书面形式向采购代理机构提出，若工程量有误由设计或中介预算编制单位进行调整（但各分项工程量的误差在5%之内的不作调整，由供应商自行决定报价），采购代理机构与采购人将给予统一书面答复。</w:t>
            </w:r>
          </w:p>
          <w:p>
            <w:r>
              <w:rPr>
                <w:sz w:val="21"/>
              </w:rPr>
              <w:t>4.若供应商对工程量等无异议，或其他原因不对工程量提出疑问，则认为其默认本磋商文件所规定的内容、工程范围，成交后按工程范围及工程量清单执行，工程承包总价不作调整。</w:t>
            </w:r>
          </w:p>
        </w:tc>
      </w:tr>
      <w:tr>
        <w:tc>
          <w:tcPr>
            <w:tcW w:type="dxa" w:w="2076"/>
          </w:tcPr>
          <w:p/>
        </w:tc>
        <w:tc>
          <w:tcPr>
            <w:tcW w:type="dxa" w:w="415"/>
          </w:tcPr>
          <w:p>
            <w:r>
              <w:rPr/>
              <w:t>3</w:t>
            </w:r>
          </w:p>
        </w:tc>
        <w:tc>
          <w:tcPr>
            <w:tcW w:type="dxa" w:w="5814"/>
          </w:tcPr>
          <w:p>
            <w:r>
              <w:rPr>
                <w:sz w:val="21"/>
              </w:rPr>
              <w:t>（三）承包标准</w:t>
            </w:r>
          </w:p>
          <w:p>
            <w:r>
              <w:rPr>
                <w:sz w:val="21"/>
              </w:rPr>
              <w:t>1.本工程成交后不得以任何形式分包及转包，必须以直属施工队伍施工，不得使用挂靠施工队伍，若成交人违法分包或转包给非直属施工队伍或其他单位施工的，一经发现将视成交人违约，追究当事人责任，采购人有权解除合同并追究成交人的违约及其它法律责任，所造成的一切损失由成交人承担。</w:t>
            </w:r>
          </w:p>
          <w:p>
            <w:r>
              <w:rPr>
                <w:sz w:val="21"/>
              </w:rPr>
              <w:t>2.施工临时水电接驳、漏项的处理由成交人自行考虑解决，所产生的费用须自行考虑在报价中。</w:t>
            </w:r>
          </w:p>
          <w:p>
            <w:r>
              <w:rPr>
                <w:sz w:val="21"/>
              </w:rPr>
              <w:t>3.主材实际采购时其技术参数、质量必须符合磋商文件、图纸、国家及省市有关验收规范的要求，且厂家、品牌、规格、型号、颜色应经采购人及有关部门检查合格备案方可使用。如成交人在选择的主材和设备的技术参数和质量达不到磋商文件、答疑、工程量清单、图纸、国家及省市有关规范要求时，将取消其成交资格。</w:t>
            </w:r>
          </w:p>
          <w:p>
            <w:r>
              <w:rPr>
                <w:sz w:val="21"/>
              </w:rPr>
              <w:t>4.本工程预算文件按工程量清单计价办法进行报价，并参照国家和省、市现行的有关施工技术规范（规程）和要求进行编制。</w:t>
            </w:r>
          </w:p>
          <w:p>
            <w:r>
              <w:rPr>
                <w:sz w:val="21"/>
              </w:rPr>
              <w:t>5.报价范围内的工程造价除设计变更或磋商文件、答疑中允许的调整范围以及中山市人民政府办公室文件中府办〔2018〕12号文件允许的建筑主材调差外，其余不因市场价格变化而调整。在计费时，供应商应将施工风险系数等费用考虑入工程总报价中。</w:t>
            </w:r>
          </w:p>
          <w:p>
            <w:r>
              <w:rPr>
                <w:sz w:val="21"/>
              </w:rPr>
              <w:t>6.采购人对勘察资料和实验数据的准确性不负商务和法律责任，各供应商如对采购人提供的资料和数据有怀疑，可自行勘察和实验，并计算实际工程量。对此所发生费用、相应责任全部由供应商承担。</w:t>
            </w:r>
          </w:p>
          <w:p>
            <w:r>
              <w:rPr>
                <w:sz w:val="21"/>
              </w:rPr>
              <w:t>7.采购人对不利的自然条件引起的工程延误的商务损失不承担责任。</w:t>
            </w:r>
          </w:p>
          <w:p>
            <w:r>
              <w:rPr>
                <w:sz w:val="21"/>
              </w:rPr>
              <w:t>8.本项目场地用电、用水由采购人根据场地条件配合成交人设置，实际施工用水用电由供应商自行考虑。成交人应接受临时水电的管理单位管理并交水电费押金，按临时水电管理单位要求的水电单价支付有关费用（水电费分摊包括主管网维修、临时变配电系统维修、线路损耗、业主（含监理、保安等）使用费用等）。</w:t>
            </w:r>
          </w:p>
        </w:tc>
      </w:tr>
      <w:tr>
        <w:tc>
          <w:tcPr>
            <w:tcW w:type="dxa" w:w="2076"/>
          </w:tcPr>
          <w:p/>
        </w:tc>
        <w:tc>
          <w:tcPr>
            <w:tcW w:type="dxa" w:w="415"/>
          </w:tcPr>
          <w:p>
            <w:r>
              <w:rPr/>
              <w:t>4</w:t>
            </w:r>
          </w:p>
        </w:tc>
        <w:tc>
          <w:tcPr>
            <w:tcW w:type="dxa" w:w="5814"/>
          </w:tcPr>
          <w:p>
            <w:r>
              <w:rPr>
                <w:sz w:val="21"/>
              </w:rPr>
              <w:t>（四）施工要求、工程质量及验收</w:t>
            </w:r>
          </w:p>
          <w:p>
            <w:r>
              <w:rPr>
                <w:sz w:val="21"/>
              </w:rPr>
              <w:t>1.施工过程严格按照国家、省、市安全文明施工要求施工。施工期内不发生重伤和死事故，轻伤事故率控制在3‰的范围内。</w:t>
            </w:r>
          </w:p>
          <w:p>
            <w:r>
              <w:rPr>
                <w:sz w:val="21"/>
              </w:rPr>
              <w:t>2.在政府行政主管部门的检查中,成交人的施工场地被评为不合格工地的或者被通报批评的,或者被新闻媒体曝光的,成交人必须承担违约责任,并立即采取切实有效措施予以整改；拒不采取有效措施整改的或整改效果不明显的,采购人有权全部解除合同,并要求成交人赔偿由此造成的损失。</w:t>
            </w:r>
          </w:p>
          <w:p>
            <w:r>
              <w:rPr>
                <w:sz w:val="21"/>
              </w:rPr>
              <w:t>3.采购人、监理按照有关规定对成交人文明施工措施进行对照检查。经检查发现成交人因自身原因未能落实的,成交人必须承担违约责任并处以违约金1000元/次。</w:t>
            </w:r>
          </w:p>
          <w:p>
            <w:r>
              <w:rPr>
                <w:sz w:val="21"/>
              </w:rPr>
              <w:t>4.开工前签订《施工安全责任书》。切实做好安全生产各项防范措施，加强安全施工管理，按《建筑施工安全检查标准JGJ59－2011》执行。</w:t>
            </w:r>
          </w:p>
          <w:p>
            <w:r>
              <w:rPr>
                <w:sz w:val="21"/>
              </w:rPr>
              <w:t>5.成交人在施工中如果工程质量不符合施工设计图要求的有关规定， 经监理或质监部门评定工程质量不合格者， 采购人可以要求停工和返工， 成交人必须立即执行， 并承担由此产生的各种费用。</w:t>
            </w:r>
          </w:p>
          <w:p>
            <w:r>
              <w:rPr>
                <w:sz w:val="21"/>
              </w:rPr>
              <w:t>6.工程质量等级为达到不低于合格等级的工程标准。 符合 《工程施工质量验收规范》 等标准。质量不合格，必须无条件整改至合格，所需费用由成交人负责，并且处以工程造价的2%作为违约金。</w:t>
            </w:r>
          </w:p>
          <w:p>
            <w:r>
              <w:rPr>
                <w:sz w:val="21"/>
              </w:rPr>
              <w:t>7.本工程严格按国家、省、市现行的相关质量评定标准和施工验收规范、规程进行施工和验收。</w:t>
            </w:r>
          </w:p>
          <w:p>
            <w:r>
              <w:rPr>
                <w:sz w:val="21"/>
              </w:rPr>
              <w:t>8.必须满足相关规范的要求，项目竣工验收须达合格工程质量标准。</w:t>
            </w:r>
          </w:p>
          <w:p>
            <w:r>
              <w:rPr>
                <w:sz w:val="21"/>
              </w:rPr>
              <w:t>9.成交人必须严格按照已经确认的施工方案组织施工，并应接受采购人（或监理单位）对工程质量、工期、安全、文明施工、环保及工地纪律的管制。</w:t>
            </w:r>
          </w:p>
          <w:p>
            <w:r>
              <w:rPr>
                <w:sz w:val="21"/>
              </w:rPr>
              <w:t>10.成交人在项目施工期间，须严格遵守当地政府职能部门的各项规章制度，由于管理不善，导致政府职能部门的罚款和停工整改，由此发生的费用与损失由成交人自行承担，且采购人保留暂缓支付工程款的权利，以确保文明施工有效实行。</w:t>
            </w:r>
          </w:p>
          <w:p>
            <w:r>
              <w:rPr>
                <w:sz w:val="21"/>
              </w:rPr>
              <w:t>11.成交人在项目施工期间，必须配备专职安全员，建立健全动火申请批准制度，配置一定数量的消防器材，并报送采购人核准，提交监理单位备案。</w:t>
            </w:r>
          </w:p>
          <w:p>
            <w:r>
              <w:rPr>
                <w:sz w:val="21"/>
              </w:rPr>
              <w:t>12.成交人在施工期间，必须建立施工安全用电制度，确保施工用电设备的完好无损，并设置漏电保护装置。</w:t>
            </w:r>
          </w:p>
          <w:p>
            <w:r>
              <w:rPr>
                <w:sz w:val="21"/>
              </w:rPr>
              <w:t>13.验收合格前的施工现场的所有安全责任及因此产生的经济损失由成交人负责。</w:t>
            </w:r>
          </w:p>
          <w:p>
            <w:r>
              <w:rPr>
                <w:sz w:val="21"/>
              </w:rPr>
              <w:t>14.成交人须严格执行中山市住房和城乡建设局《关于落实中山市施工现场人员实名制管理办法（试行）有关事宜的通知》（中建函[2018]880号）和《中山市建筑施工现场人员实名制管理办法（试行）》（中建〔2018〕9号）等文件要求，加强建筑工人实名制管理，落实工人实名信息登记、考勤管理等各项要求。</w:t>
            </w:r>
          </w:p>
          <w:p>
            <w:r>
              <w:rPr>
                <w:sz w:val="21"/>
              </w:rPr>
              <w:t>15.供应商按照治安管理有关规定及时申报户口和缴费，对于工地的治安、消防事故负全部责任。供应商雇请员工应与劳动者签订劳动合同，并实行劳动保险制度。供应商负责办理施工场地人员生命、财产、机械设备和第三者责任险的保险，并支付相应费用。供应商若与劳动者发生纠纷，由供应商承担责任，一切与采购人无关。</w:t>
            </w:r>
          </w:p>
          <w:p>
            <w:r>
              <w:rPr>
                <w:sz w:val="21"/>
              </w:rPr>
              <w:t>16.建筑垃圾应严格按照《城市建筑垃圾管理规定》及国家、省、市的相关规定执行，严禁随意倾倒在城市道路、河道、绿化带、空旷地带和居民生活垃圾容器内；施工中应注意清理施工场地，做到随做随清。工地运输车辆的车厢应确保牢固、严密，严禁在装运过程中沿途抛、洒、滴、漏。否则由此造成的损失和相关责任均由成交人承担，相关费用须考虑在报价中。</w:t>
            </w:r>
          </w:p>
          <w:p>
            <w:r>
              <w:rPr>
                <w:sz w:val="21"/>
              </w:rPr>
              <w:t>17.施工安全:切实做好安全生产各项防范措施，加强安全施工管理，成交人须遵守《中山市市政工程文明施工管理实施细则》等国家、广东省、中山市安全文明施工有关规定。</w:t>
            </w:r>
          </w:p>
          <w:p>
            <w:r>
              <w:rPr>
                <w:sz w:val="21"/>
              </w:rPr>
              <w:t>18.文明施工：达到文明工地标准，成交人须遵守《中山市市政工程文明施工管理实施细则》等国家、广东省、中山市安全文明施工有关规定。若因成交人原因出现安全事故，由成交人自身负全责任。</w:t>
            </w:r>
          </w:p>
          <w:p>
            <w:r>
              <w:rPr>
                <w:sz w:val="21"/>
              </w:rPr>
              <w:t>19.隐蔽工程项目在隐蔽前必须经采购人检查确认后才能隐蔽和进行下一工序。</w:t>
            </w:r>
          </w:p>
          <w:p>
            <w:r>
              <w:rPr/>
              <w:t xml:space="preserve"> </w:t>
            </w:r>
          </w:p>
        </w:tc>
      </w:tr>
      <w:tr>
        <w:tc>
          <w:tcPr>
            <w:tcW w:type="dxa" w:w="2076"/>
          </w:tcPr>
          <w:p/>
        </w:tc>
        <w:tc>
          <w:tcPr>
            <w:tcW w:type="dxa" w:w="415"/>
          </w:tcPr>
          <w:p>
            <w:r>
              <w:rPr/>
              <w:t>5</w:t>
            </w:r>
          </w:p>
        </w:tc>
        <w:tc>
          <w:tcPr>
            <w:tcW w:type="dxa" w:w="5814"/>
          </w:tcPr>
          <w:p>
            <w:r>
              <w:rPr>
                <w:sz w:val="21"/>
              </w:rPr>
              <w:t>（五）竣工资料归档要求</w:t>
            </w:r>
          </w:p>
          <w:p>
            <w:r>
              <w:rPr>
                <w:sz w:val="21"/>
              </w:rPr>
              <w:t>1.工程竣工验收程序为采购人验收小组验收合格后方可进行申报有关部门进行竣工验收。验收小组验收之前成交人应向采购人的档案室提交一套完整的竣工资料（原件且需满足中山市同类工程行业要求），经检查竣工资料符合后方可进行下一步验收。</w:t>
            </w:r>
          </w:p>
          <w:p>
            <w:r>
              <w:rPr>
                <w:sz w:val="21"/>
              </w:rPr>
              <w:t>2.成交人的工程档案资料必须按要求及时收集、汇总、整理工程档案。由此造成的费用增加，由供应商在报价时自行考虑。所有隐蔽工程(如需)必须有数码成像照片资料，由此造成的费用增加，由成交人负责。隐蔽工程的电子数码文档资料是竣工验收资料必要组成部分。</w:t>
            </w:r>
          </w:p>
          <w:p>
            <w:r>
              <w:rPr>
                <w:sz w:val="21"/>
              </w:rPr>
              <w:t>3.成交人应在工程竣工验收前按建筑工程验收有关规定提供工程资料，若工程资料不全或成交人不按规定提供工程资料，则不予进行工程质量验收及工程竣工验收，一切损失由成交人负责，工期不予顺延。成交人应积极创造条件使工程通过竣工验收，并协助采购人完成工程备案手续。</w:t>
            </w:r>
          </w:p>
          <w:p>
            <w:r>
              <w:rPr>
                <w:sz w:val="21"/>
              </w:rPr>
              <w:t>4.成交人在工程竣工验收时，应向采购人提供符合 GB/T50328-2014《建设工程文件归档整理规范》及《广东省市政基础设施工程竣工验收技术资料统一用表》2019版上、下册的要求编制施工资料及施工图一式叁份结算资料贰份，并提供电子文件资料及施工图一式贰份。</w:t>
            </w:r>
          </w:p>
        </w:tc>
      </w:tr>
      <w:tr>
        <w:tc>
          <w:tcPr>
            <w:tcW w:type="dxa" w:w="2076"/>
          </w:tcPr>
          <w:p>
            <w:r>
              <w:rPr/>
              <w:t>★</w:t>
            </w:r>
          </w:p>
        </w:tc>
        <w:tc>
          <w:tcPr>
            <w:tcW w:type="dxa" w:w="415"/>
          </w:tcPr>
          <w:p>
            <w:r>
              <w:rPr/>
              <w:t>6</w:t>
            </w:r>
          </w:p>
        </w:tc>
        <w:tc>
          <w:tcPr>
            <w:tcW w:type="dxa" w:w="5814"/>
          </w:tcPr>
          <w:p>
            <w:r>
              <w:rPr>
                <w:sz w:val="21"/>
              </w:rPr>
              <w:t>★</w:t>
            </w:r>
            <w:r>
              <w:rPr>
                <w:b/>
                <w:sz w:val="21"/>
              </w:rPr>
              <w:t>（六）项目管理机构基本要求</w:t>
            </w:r>
          </w:p>
          <w:p>
            <w:r>
              <w:rPr>
                <w:b/>
                <w:sz w:val="21"/>
              </w:rPr>
              <w:t>1.项目管理机构主要人员配置如下表</w:t>
            </w:r>
          </w:p>
          <w:tbl>
            <w:tblPr>
              <w:tblInd w:type="dxa" w:w="120"/>
              <w:tblBorders>
                <w:top w:val="none" w:color="000000" w:sz="4"/>
                <w:left w:val="none" w:color="000000" w:sz="4"/>
                <w:bottom w:val="none" w:color="000000" w:sz="4"/>
                <w:right w:val="none" w:color="000000" w:sz="4"/>
                <w:insideH w:val="none"/>
                <w:insideV w:val="none"/>
              </w:tblBorders>
            </w:tblPr>
            <w:tblGrid>
              <w:gridCol w:w="1120"/>
              <w:gridCol w:w="1120"/>
              <w:gridCol w:w="465"/>
              <w:gridCol w:w="1774"/>
              <w:gridCol w:w="1120"/>
            </w:tblGrid>
            <w:tr>
              <w:tc>
                <w:tcPr>
                  <w:tcW w:type="dxa" w:w="112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20"/>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465"/>
                  <w:tcBorders>
                    <w:top w:val="single" w:color="000000" w:sz="4"/>
                    <w:left w:val="single" w:color="000000" w:sz="4"/>
                    <w:bottom w:val="single" w:color="000000" w:sz="4"/>
                    <w:right w:val="single" w:color="000000" w:sz="4"/>
                  </w:tcBorders>
                  <w:vAlign w:val="top"/>
                </w:tcPr>
                <w:p>
                  <w:pPr>
                    <w:jc w:val="center"/>
                  </w:pPr>
                  <w:r>
                    <w:rPr>
                      <w:b/>
                      <w:sz w:val="21"/>
                    </w:rPr>
                    <w:t>人数</w:t>
                  </w:r>
                </w:p>
              </w:tc>
              <w:tc>
                <w:tcPr>
                  <w:tcW w:type="dxa" w:w="1774"/>
                  <w:tcBorders>
                    <w:top w:val="single" w:color="000000" w:sz="4"/>
                    <w:left w:val="single" w:color="000000" w:sz="4"/>
                    <w:bottom w:val="single" w:color="000000" w:sz="4"/>
                    <w:right w:val="single" w:color="000000" w:sz="4"/>
                  </w:tcBorders>
                  <w:vAlign w:val="top"/>
                </w:tcPr>
                <w:p>
                  <w:pPr>
                    <w:jc w:val="center"/>
                  </w:pPr>
                  <w:r>
                    <w:rPr>
                      <w:b/>
                      <w:sz w:val="21"/>
                    </w:rPr>
                    <w:t>专业及级别</w:t>
                  </w:r>
                </w:p>
              </w:tc>
              <w:tc>
                <w:tcPr>
                  <w:tcW w:type="dxa" w:w="1120"/>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1120"/>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项目负责人</w:t>
                  </w:r>
                </w:p>
              </w:tc>
              <w:tc>
                <w:tcPr>
                  <w:tcW w:type="dxa" w:w="465"/>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774"/>
                  <w:tcBorders>
                    <w:top w:val="none" w:color="000000" w:sz="4"/>
                    <w:left w:val="single" w:color="000000" w:sz="4"/>
                    <w:bottom w:val="single" w:color="000000" w:sz="4"/>
                    <w:right w:val="single" w:color="000000" w:sz="4"/>
                  </w:tcBorders>
                  <w:vAlign w:val="top"/>
                </w:tcPr>
                <w:p>
                  <w:r>
                    <w:rPr>
                      <w:sz w:val="21"/>
                    </w:rPr>
                    <w:t>专业：</w:t>
                  </w:r>
                  <w:r>
                    <w:rPr>
                      <w:sz w:val="21"/>
                      <w:u w:val="single"/>
                    </w:rPr>
                    <w:t>市政公用工程</w:t>
                  </w:r>
                </w:p>
                <w:p>
                  <w:r>
                    <w:rPr>
                      <w:sz w:val="21"/>
                    </w:rPr>
                    <w:t>级别：</w:t>
                  </w:r>
                  <w:r>
                    <w:rPr>
                      <w:sz w:val="21"/>
                      <w:u w:val="single"/>
                    </w:rPr>
                    <w:t>二级或以上</w:t>
                  </w:r>
                </w:p>
                <w:p>
                  <w:r>
                    <w:rPr>
                      <w:sz w:val="21"/>
                      <w:u w:val="single"/>
                    </w:rPr>
                    <w:t>（非广东省内企业，所提供的建造师证必须是一级资格）</w:t>
                  </w:r>
                  <w:r>
                    <w:rPr>
                      <w:sz w:val="21"/>
                    </w:rPr>
                    <w:t xml:space="preserve">             </w:t>
                  </w:r>
                </w:p>
              </w:tc>
              <w:tc>
                <w:tcPr>
                  <w:tcW w:type="dxa" w:w="1120"/>
                  <w:tcBorders>
                    <w:top w:val="none" w:color="000000" w:sz="4"/>
                    <w:left w:val="single" w:color="000000" w:sz="4"/>
                    <w:bottom w:val="single" w:color="000000" w:sz="4"/>
                    <w:right w:val="single" w:color="000000" w:sz="4"/>
                  </w:tcBorders>
                  <w:vAlign w:val="top"/>
                </w:tcPr>
                <w:p>
                  <w:pPr>
                    <w:ind w:firstLine="210"/>
                  </w:pPr>
                  <w:r>
                    <w:rPr>
                      <w:sz w:val="21"/>
                    </w:rPr>
                    <w:t>响应文件中提供</w:t>
                  </w:r>
                  <w:r>
                    <w:rPr>
                      <w:sz w:val="21"/>
                    </w:rPr>
                    <w:t>注册</w:t>
                  </w:r>
                  <w:r>
                    <w:rPr>
                      <w:sz w:val="21"/>
                    </w:rPr>
                    <w:t>建造师证、安全生产考核合格证（</w:t>
                  </w:r>
                  <w:r>
                    <w:rPr>
                      <w:sz w:val="21"/>
                    </w:rPr>
                    <w:t>B证）、身份证的复印件或扫描件</w:t>
                  </w:r>
                </w:p>
              </w:tc>
            </w:tr>
            <w:tr>
              <w:tc>
                <w:tcPr>
                  <w:tcW w:type="dxa" w:w="1120"/>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技术负责人</w:t>
                  </w:r>
                </w:p>
              </w:tc>
              <w:tc>
                <w:tcPr>
                  <w:tcW w:type="dxa" w:w="465"/>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774"/>
                  <w:tcBorders>
                    <w:top w:val="none" w:color="000000" w:sz="4"/>
                    <w:left w:val="single" w:color="000000" w:sz="4"/>
                    <w:bottom w:val="single" w:color="000000" w:sz="4"/>
                    <w:right w:val="single" w:color="000000" w:sz="4"/>
                  </w:tcBorders>
                  <w:vAlign w:val="top"/>
                </w:tcPr>
                <w:p>
                  <w:r>
                    <w:rPr>
                      <w:sz w:val="21"/>
                    </w:rPr>
                    <w:t>专业：</w:t>
                  </w:r>
                  <w:r>
                    <w:rPr>
                      <w:sz w:val="21"/>
                      <w:u w:val="single"/>
                    </w:rPr>
                    <w:t>市政类</w:t>
                  </w:r>
                </w:p>
                <w:p>
                  <w:r>
                    <w:rPr>
                      <w:sz w:val="21"/>
                    </w:rPr>
                    <w:t>级别：</w:t>
                  </w:r>
                  <w:r>
                    <w:rPr>
                      <w:sz w:val="21"/>
                      <w:u w:val="single"/>
                    </w:rPr>
                    <w:t>中级工程师或以上职称</w:t>
                  </w:r>
                </w:p>
              </w:tc>
              <w:tc>
                <w:tcPr>
                  <w:tcW w:type="dxa" w:w="1120"/>
                  <w:tcBorders>
                    <w:top w:val="none" w:color="000000" w:sz="4"/>
                    <w:left w:val="single" w:color="000000" w:sz="4"/>
                    <w:bottom w:val="single" w:color="000000" w:sz="4"/>
                    <w:right w:val="single" w:color="000000" w:sz="4"/>
                  </w:tcBorders>
                  <w:vAlign w:val="top"/>
                </w:tcPr>
                <w:p>
                  <w:pPr>
                    <w:ind w:firstLine="210"/>
                  </w:pPr>
                  <w:r>
                    <w:rPr>
                      <w:sz w:val="21"/>
                    </w:rPr>
                    <w:t>响应文件中提供技术负责人职称证、聘书、身份证的复印件或扫描件</w:t>
                  </w:r>
                </w:p>
              </w:tc>
            </w:tr>
            <w:tr>
              <w:tc>
                <w:tcPr>
                  <w:tcW w:type="dxa" w:w="1120"/>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120"/>
                  <w:tcBorders>
                    <w:top w:val="none" w:color="000000" w:sz="4"/>
                    <w:left w:val="single" w:color="000000" w:sz="4"/>
                    <w:bottom w:val="single" w:color="000000" w:sz="4"/>
                    <w:right w:val="single" w:color="000000" w:sz="4"/>
                  </w:tcBorders>
                  <w:vAlign w:val="top"/>
                </w:tcPr>
                <w:p>
                  <w:pPr>
                    <w:jc w:val="center"/>
                  </w:pPr>
                  <w:r>
                    <w:rPr>
                      <w:sz w:val="21"/>
                    </w:rPr>
                    <w:t>安全员</w:t>
                  </w:r>
                </w:p>
              </w:tc>
              <w:tc>
                <w:tcPr>
                  <w:tcW w:type="dxa" w:w="465"/>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774"/>
                  <w:tcBorders>
                    <w:top w:val="none" w:color="000000" w:sz="4"/>
                    <w:left w:val="single" w:color="000000" w:sz="4"/>
                    <w:bottom w:val="single" w:color="000000" w:sz="4"/>
                    <w:right w:val="single" w:color="000000" w:sz="4"/>
                  </w:tcBorders>
                  <w:vAlign w:val="top"/>
                </w:tcPr>
                <w:p/>
              </w:tc>
              <w:tc>
                <w:tcPr>
                  <w:tcW w:type="dxa" w:w="1120"/>
                  <w:tcBorders>
                    <w:top w:val="none" w:color="000000" w:sz="4"/>
                    <w:left w:val="single" w:color="000000" w:sz="4"/>
                    <w:bottom w:val="single" w:color="000000" w:sz="4"/>
                    <w:right w:val="single" w:color="000000" w:sz="4"/>
                  </w:tcBorders>
                  <w:vAlign w:val="top"/>
                </w:tcPr>
                <w:p>
                  <w:pPr>
                    <w:ind w:firstLine="210"/>
                  </w:pPr>
                  <w:r>
                    <w:rPr>
                      <w:sz w:val="21"/>
                    </w:rPr>
                    <w:t>响应文件中提供安全生产考核合格证（</w:t>
                  </w:r>
                  <w:r>
                    <w:rPr>
                      <w:sz w:val="21"/>
                    </w:rPr>
                    <w:t>C证或C2或C3证）、身份证的复印件或扫描件</w:t>
                  </w:r>
                </w:p>
              </w:tc>
            </w:tr>
          </w:tbl>
          <w:p>
            <w:r>
              <w:rPr>
                <w:sz w:val="21"/>
              </w:rPr>
              <w:t>2.根据《注册建造师管理规定》注册建造师不得同时在两个及两个以上的建设工程项目上担任施工单位项目负责人的规定。本项目供应商拟派出的项目负责人不能有其他在建项目（包括正在中标公示期内的项目），如果在国家行政机关或依法行使行政管理职权的单位或事业单位网站公告有其他在建项目，则应经采购人同意更换符合规定的项目负责人（不影响成交结果）。</w:t>
            </w:r>
          </w:p>
          <w:p>
            <w:r>
              <w:rPr>
                <w:sz w:val="21"/>
              </w:rPr>
              <w:t>3.成交人实际投入的施工管理人员必须与成交人响应文件和《施工合同》中的施工管理人员相符，一经成交且签订《施工合同》后，需按响应时的人员办理施工许可，不得随意更改。如确需更换，须按广东省住房和城乡建设厅印发《广东省住房和城乡建设厅关于建设工程项目招标中标后监督检查的办法》的通知（粤建市〔2009〕8号）的有关规定进行申请，提供更换原因的凭证，并经采购人同意，同时，成交人仍需要按照附表1向甲方支付违约金。如成交人未经采购人同意擅自更换施工管理人员，采购人有权选择：（1）解除《施工合同》，且成交人按附表1向采购人支付违约金。同时采购人有权将成交人的情况提交主管部门作不诚信单位予以备案，并向镇纪委反馈相关情况。（2）成交人继续履行合同，并按附表1向采购人支付违约金。</w:t>
            </w:r>
          </w:p>
          <w:p>
            <w:r>
              <w:rPr>
                <w:sz w:val="21"/>
              </w:rPr>
              <w:t xml:space="preserve">4.成交人须指派注册建造师进驻工程现场，该项目负责人须在工地时间每月不少于22天。每缺勤一次扣罚10000元，扣罚限额不超过合同价的5%。超过12次缺勤，将不良行为通报相关部门，并提交中山市住建局作不诚信单位予以备案并向镇纪委反馈相关情况。所有更换的人员均需经审采购人审核并批准后，用同等级或更高等级资质和经历的人员替换，否则不予以更换。   </w:t>
            </w:r>
          </w:p>
          <w:p>
            <w:r>
              <w:rPr>
                <w:sz w:val="21"/>
              </w:rPr>
              <w:t>5.响应文件中提供以上项目管理机构主要人员的各项证书和由供应商为其购买的2022年11月至 2023年1月社保证明的复印件或能证明双方建立劳务关系的证明材料等复印件或者</w:t>
            </w:r>
            <w:r>
              <w:rPr>
                <w:sz w:val="21"/>
              </w:rPr>
              <w:t>在响应文件中提供相关承诺（承诺书须盖公章，格式自行编制，承诺书内容包括但不限于以下内容：若我单位成交，合同签订前保证按响应文件中所配备投入本项目的人员全部到位并提供所有人员的社保证明或劳务合同，否则视为我单位放弃成交资格）。）</w:t>
            </w:r>
          </w:p>
          <w:p>
            <w:r>
              <w:rPr>
                <w:sz w:val="21"/>
              </w:rPr>
              <w:t>附表</w:t>
            </w:r>
            <w:r>
              <w:rPr>
                <w:sz w:val="21"/>
              </w:rPr>
              <w:t>1如下：</w:t>
            </w:r>
          </w:p>
          <w:p>
            <w:pPr>
              <w:jc w:val="center"/>
            </w:pPr>
            <w:r>
              <w:rPr>
                <w:sz w:val="21"/>
              </w:rPr>
              <w:t>更换人员违约金处罚明细：</w:t>
            </w:r>
          </w:p>
          <w:tbl>
            <w:tblPr>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vAlign w:val="top"/>
                </w:tcPr>
                <w:p>
                  <w:r>
                    <w:rPr>
                      <w:sz w:val="21"/>
                      <w:vertAlign w:val="superscript"/>
                    </w:rPr>
                    <w:t xml:space="preserve">           </w:t>
                  </w:r>
                  <w:r>
                    <w:rPr>
                      <w:sz w:val="21"/>
                    </w:rPr>
                    <w:t xml:space="preserve">         </w:t>
                  </w:r>
                  <w:r>
                    <w:rPr>
                      <w:sz w:val="21"/>
                    </w:rPr>
                    <w:t>人员</w:t>
                  </w:r>
                  <w:r>
                    <w:rPr>
                      <w:sz w:val="21"/>
                    </w:rPr>
                    <w:t xml:space="preserve">                </w:t>
                  </w:r>
                  <w:r>
                    <w:rPr>
                      <w:sz w:val="21"/>
                    </w:rPr>
                    <w:t>明细</w:t>
                  </w:r>
                </w:p>
              </w:tc>
              <w:tc>
                <w:tcPr>
                  <w:tcW w:type="dxa" w:w="1120"/>
                  <w:tcBorders>
                    <w:top w:val="single" w:color="000000" w:sz="4"/>
                    <w:left w:val="none" w:color="000000" w:sz="4"/>
                    <w:bottom w:val="single" w:color="000000" w:sz="4"/>
                    <w:right w:val="single" w:color="000000" w:sz="4"/>
                  </w:tcBorders>
                  <w:vAlign w:val="top"/>
                </w:tcPr>
                <w:p>
                  <w:pPr>
                    <w:jc w:val="center"/>
                  </w:pPr>
                  <w:r>
                    <w:rPr>
                      <w:sz w:val="21"/>
                    </w:rPr>
                    <w:t>更换项目负责人（《施工合同》签订前）</w:t>
                  </w:r>
                </w:p>
              </w:tc>
              <w:tc>
                <w:tcPr>
                  <w:tcW w:type="dxa" w:w="1120"/>
                  <w:tcBorders>
                    <w:top w:val="single" w:color="000000" w:sz="4"/>
                    <w:left w:val="none" w:color="000000" w:sz="4"/>
                    <w:bottom w:val="single" w:color="000000" w:sz="4"/>
                    <w:right w:val="single" w:color="000000" w:sz="4"/>
                  </w:tcBorders>
                  <w:vAlign w:val="top"/>
                </w:tcPr>
                <w:p>
                  <w:pPr>
                    <w:jc w:val="center"/>
                  </w:pPr>
                  <w:r>
                    <w:rPr>
                      <w:sz w:val="21"/>
                    </w:rPr>
                    <w:t>更换其他管理人员（《施工合同》签订前）</w:t>
                  </w:r>
                </w:p>
              </w:tc>
              <w:tc>
                <w:tcPr>
                  <w:tcW w:type="dxa" w:w="1120"/>
                  <w:tcBorders>
                    <w:top w:val="single" w:color="000000" w:sz="4"/>
                    <w:left w:val="none" w:color="000000" w:sz="4"/>
                    <w:bottom w:val="single" w:color="000000" w:sz="4"/>
                    <w:right w:val="single" w:color="000000" w:sz="4"/>
                  </w:tcBorders>
                  <w:vAlign w:val="top"/>
                </w:tcPr>
                <w:p>
                  <w:pPr>
                    <w:jc w:val="center"/>
                  </w:pPr>
                  <w:r>
                    <w:rPr>
                      <w:sz w:val="21"/>
                    </w:rPr>
                    <w:t>更换项目负责人（《施工合同》签订后）</w:t>
                  </w:r>
                </w:p>
              </w:tc>
              <w:tc>
                <w:tcPr>
                  <w:tcW w:type="dxa" w:w="1120"/>
                  <w:tcBorders>
                    <w:top w:val="single" w:color="000000" w:sz="4"/>
                    <w:left w:val="none" w:color="000000" w:sz="4"/>
                    <w:bottom w:val="single" w:color="000000" w:sz="4"/>
                    <w:right w:val="single" w:color="000000" w:sz="4"/>
                  </w:tcBorders>
                  <w:vAlign w:val="top"/>
                </w:tcPr>
                <w:p>
                  <w:pPr>
                    <w:jc w:val="center"/>
                  </w:pPr>
                  <w:r>
                    <w:rPr>
                      <w:sz w:val="21"/>
                    </w:rPr>
                    <w:t>更换其他管理人员（《施工合同》签订后）</w:t>
                  </w:r>
                </w:p>
              </w:tc>
            </w:tr>
            <w:tr>
              <w:tc>
                <w:tcPr>
                  <w:tcW w:type="dxa" w:w="1120"/>
                  <w:tcBorders>
                    <w:top w:val="none" w:color="000000" w:sz="4"/>
                    <w:left w:val="single" w:color="000000" w:sz="4"/>
                    <w:bottom w:val="single" w:color="000000" w:sz="4"/>
                    <w:right w:val="single" w:color="000000" w:sz="4"/>
                  </w:tcBorders>
                  <w:vAlign w:val="top"/>
                </w:tcPr>
                <w:p>
                  <w:pPr>
                    <w:jc w:val="center"/>
                  </w:pPr>
                  <w:r>
                    <w:rPr>
                      <w:sz w:val="21"/>
                    </w:rPr>
                    <w:t>1000万元以下项目违约金（万元/人.次）</w:t>
                  </w:r>
                </w:p>
              </w:tc>
              <w:tc>
                <w:tcPr>
                  <w:tcW w:type="dxa" w:w="11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11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120"/>
                  <w:tcBorders>
                    <w:top w:val="none" w:color="000000" w:sz="4"/>
                    <w:left w:val="none" w:color="000000" w:sz="4"/>
                    <w:bottom w:val="single" w:color="000000" w:sz="4"/>
                    <w:right w:val="single" w:color="000000" w:sz="4"/>
                  </w:tcBorders>
                  <w:vAlign w:val="top"/>
                </w:tcPr>
                <w:p>
                  <w:pPr>
                    <w:jc w:val="center"/>
                  </w:pPr>
                  <w:r>
                    <w:rPr>
                      <w:sz w:val="21"/>
                    </w:rPr>
                    <w:t>5</w:t>
                  </w:r>
                </w:p>
              </w:tc>
              <w:tc>
                <w:tcPr>
                  <w:tcW w:type="dxa" w:w="1120"/>
                  <w:tcBorders>
                    <w:top w:val="none" w:color="000000" w:sz="4"/>
                    <w:left w:val="none" w:color="000000" w:sz="4"/>
                    <w:bottom w:val="single" w:color="000000" w:sz="4"/>
                    <w:right w:val="single" w:color="000000" w:sz="4"/>
                  </w:tcBorders>
                  <w:vAlign w:val="top"/>
                </w:tcPr>
                <w:p>
                  <w:pPr>
                    <w:jc w:val="center"/>
                  </w:pPr>
                  <w:r>
                    <w:rPr>
                      <w:sz w:val="21"/>
                    </w:rPr>
                    <w:t>2</w:t>
                  </w:r>
                </w:p>
              </w:tc>
            </w:tr>
          </w:tbl>
        </w:tc>
      </w:tr>
      <w:tr>
        <w:tc>
          <w:tcPr>
            <w:tcW w:type="dxa" w:w="2076"/>
          </w:tcPr>
          <w:p/>
        </w:tc>
        <w:tc>
          <w:tcPr>
            <w:tcW w:type="dxa" w:w="415"/>
          </w:tcPr>
          <w:p>
            <w:r>
              <w:rPr/>
              <w:t>7</w:t>
            </w:r>
          </w:p>
        </w:tc>
        <w:tc>
          <w:tcPr>
            <w:tcW w:type="dxa" w:w="5814"/>
          </w:tcPr>
          <w:p>
            <w:r>
              <w:rPr>
                <w:sz w:val="21"/>
              </w:rPr>
              <w:t>（七）</w:t>
            </w:r>
            <w:r>
              <w:rPr>
                <w:sz w:val="21"/>
              </w:rPr>
              <w:t>施工期限与质量保修期</w:t>
            </w:r>
          </w:p>
          <w:p>
            <w:r>
              <w:rPr>
                <w:sz w:val="21"/>
              </w:rPr>
              <w:t>★1.本工程施工工期为75个日历天（含国家法定假期，具体开工时间以采购人（或监理）发出的开工通知为准）。草皮养护期：6个月，自验收合格之日起计算。因成交人原因致使工期延误，每延误工期一天，扣罚合同价的3%，但违约金总额不超过签约合同价的10%；由于成交人责任造成的拖延工期，成交人还应赔偿采购人因此所增加的监理费酬金。由于采购人原因造成的工期延长，总工期可顺延。</w:t>
            </w:r>
          </w:p>
          <w:p>
            <w:r>
              <w:rPr>
                <w:sz w:val="21"/>
              </w:rPr>
              <w:t>★2.本项目工程整体保修期为2年。工程质量保修期按《建设工程质量管理条例》第六章有关规定执行，成交人在向采购人提交工程竣工验收报告时，向采购人出具质量保修书，如属施工质量引起的问题，由成交人全部负责无偿保修。</w:t>
            </w:r>
          </w:p>
          <w:p>
            <w:r>
              <w:rPr>
                <w:sz w:val="21"/>
              </w:rPr>
              <w:t>3.缺陷责任期为1年，缺陷责任期自工程通过竣工验收之日起计算。单位工程先于全部工程进行验收，单位工程缺陷责任期自单位工程验收合格之日起算。缺陷责任期内，由成交人原因造成的缺陷，成交人应负责维修，并承担鉴定及维修费用。成交人维修并承担相应费用后，不免除对工程的损失赔偿责任。采购人有权要求成交人延长缺陷责任期，并应在原缺陷责任期届满前发出延长通知。</w:t>
            </w:r>
          </w:p>
          <w:p>
            <w:r>
              <w:rPr>
                <w:sz w:val="21"/>
              </w:rPr>
              <w:t>4.成交人应于缺陷责任期届满后7天内向采购人发出缺陷责任期届满通知，采购人应在收到缺陷责任期满通知后14天内核实成交人是否履行缺陷修复义务，成交人未能履行缺陷修复义务的，采购人有权扣除相应金额的维修费用。采购人应在收到缺陷责任期届满通知后14天内，向成交人颁发缺陷责任期终止证书。</w:t>
            </w:r>
          </w:p>
          <w:p>
            <w:r>
              <w:rPr>
                <w:sz w:val="21"/>
              </w:rPr>
              <w:t>5.若发生下列情况，成交人剩余的工程保修金由采购人代为扣减，若工程保修金不足，采购人有权追偿：</w:t>
            </w:r>
          </w:p>
          <w:p>
            <w:r>
              <w:rPr>
                <w:sz w:val="21"/>
              </w:rPr>
              <w:t>（</w:t>
            </w:r>
            <w:r>
              <w:rPr>
                <w:sz w:val="21"/>
              </w:rPr>
              <w:t>1）属于成交人施工质量责任，需返工或重修，但成交人没有及时进行，致使采购人另外聘请其他施工队伍完成，所产生的费用由采购人在成交人的保修金中扣减抵销。</w:t>
            </w:r>
          </w:p>
          <w:p>
            <w:r>
              <w:rPr>
                <w:sz w:val="21"/>
              </w:rPr>
              <w:t>（</w:t>
            </w:r>
            <w:r>
              <w:rPr>
                <w:sz w:val="21"/>
              </w:rPr>
              <w:t>2）属于成交人职责范围的收尾工作或遗留问题，成交人没有按期完成或问题悬而未决，致使采购人另行聘请其他施工队伍完成并代为支付费用的，有关款项由采购人在成交人的保修金中扣减抵销。</w:t>
            </w:r>
          </w:p>
          <w:p>
            <w:r>
              <w:rPr>
                <w:sz w:val="21"/>
              </w:rPr>
              <w:t>（</w:t>
            </w:r>
            <w:r>
              <w:rPr>
                <w:sz w:val="21"/>
              </w:rPr>
              <w:t>3）因成交人施工质量责任或其他成交人原因造成第三人索赔，致使采购人损失的，采购人可在成交人的质量保证金中扣减抵销相关损失。</w:t>
            </w:r>
          </w:p>
        </w:tc>
      </w:tr>
      <w:tr>
        <w:tc>
          <w:tcPr>
            <w:tcW w:type="dxa" w:w="2076"/>
          </w:tcPr>
          <w:p/>
        </w:tc>
        <w:tc>
          <w:tcPr>
            <w:tcW w:type="dxa" w:w="415"/>
          </w:tcPr>
          <w:p>
            <w:r>
              <w:rPr/>
              <w:t>8</w:t>
            </w:r>
          </w:p>
        </w:tc>
        <w:tc>
          <w:tcPr>
            <w:tcW w:type="dxa" w:w="5814"/>
          </w:tcPr>
          <w:p>
            <w:pPr>
              <w:jc w:val="both"/>
            </w:pPr>
            <w:r>
              <w:rPr>
                <w:sz w:val="21"/>
              </w:rPr>
              <w:t>（八）要求执行的规章制度</w:t>
            </w:r>
          </w:p>
          <w:p>
            <w:pPr>
              <w:jc w:val="both"/>
            </w:pPr>
            <w:r>
              <w:rPr>
                <w:sz w:val="21"/>
              </w:rPr>
              <w:t>1.成交人应切实做好农民工工资支付保障工作，按时足额发放农民工工资。</w:t>
            </w:r>
          </w:p>
          <w:p>
            <w:pPr>
              <w:jc w:val="both"/>
            </w:pPr>
            <w:r>
              <w:rPr>
                <w:sz w:val="21"/>
              </w:rPr>
              <w:t>2.成交人须按《广东省建设工程领域用工实名管理暂行办法》规定全面落实农民工实名制管理，并且严格执行中山市住房和城乡建设局《关于落实中山市施工现场人员实名制管理办法（试行）有关事宜的通知》（中建函[2018]880号）和《中山市建筑施工现场人员实名制管理办法（试行）》（中建〔2018〕9号）等文件要求，加强建筑工人实名制管理，落实工人实名信息登记、考勤管理等各项要求。</w:t>
            </w:r>
          </w:p>
          <w:p>
            <w:pPr>
              <w:jc w:val="both"/>
            </w:pPr>
            <w:r>
              <w:rPr>
                <w:sz w:val="21"/>
              </w:rPr>
              <w:t>3.成交人须承诺成交后按照《中山市住房和城乡建设局关于更新使用〈建设工程工人工资支付分账管理制度承诺书〉的通知》（中建通〔2019〕25号）的要求设立工资专户，并执行成交人收取的工程进度价款已包含该阶段100%工人工资，工程完工后的成交人收取的进度价款已包含100%的工人工资。</w:t>
            </w:r>
          </w:p>
          <w:p>
            <w:pPr>
              <w:jc w:val="both"/>
            </w:pPr>
            <w:r>
              <w:rPr>
                <w:sz w:val="21"/>
              </w:rPr>
              <w:t>4.建立健全安全生产责任制。从派往项目实施的项目经理到生产工人（包括临时雇请的民工）的安全生产管理系统必须做到纵向到底，一环不漏；各职能部门、人员的安全生产责任制做到横向到边，人人有责。</w:t>
            </w:r>
          </w:p>
          <w:p>
            <w:pPr>
              <w:jc w:val="both"/>
            </w:pPr>
            <w:r>
              <w:rPr>
                <w:sz w:val="21"/>
              </w:rPr>
              <w:t>5.工程实施期间要切实做好安全文明施工措施，严格按《中山市扬尘污染防治管理办法》（中山市人民政府令第9号）及《中山市人民政府关于修改&lt;中山市扬尘污染防治管理办法&gt;的决定》（中山市人民政府令第15号）对施工场地范围内及其周边地区、工程运输车辆做好扬尘污染防治。</w:t>
            </w:r>
          </w:p>
          <w:p>
            <w:pPr>
              <w:jc w:val="both"/>
            </w:pPr>
            <w:r>
              <w:rPr>
                <w:sz w:val="21"/>
              </w:rPr>
              <w:t>6.成交人须遵守《中山市房屋建筑工程文明施工管理实施细则》、《中山市建筑工地扬尘污染防治技术指南（试行）》、《中山市住房和城乡建设局关于建筑工地进一步推广使用装配式围挡的通知》等安全文明施工有关规定。</w:t>
            </w:r>
          </w:p>
          <w:p>
            <w:r>
              <w:rPr>
                <w:sz w:val="21"/>
              </w:rPr>
              <w:t>7.成交人申报的结算，经审核，核减额在送审价8%以内(含8%)的中介审核费由采购人承担；核减额超过送审价8%的，超出部分的中介审核费由成交人负担，直接在结算报告中扣除。</w:t>
            </w:r>
          </w:p>
        </w:tc>
      </w:tr>
      <w:tr>
        <w:tc>
          <w:tcPr>
            <w:tcW w:type="dxa" w:w="2076"/>
          </w:tcPr>
          <w:p/>
        </w:tc>
        <w:tc>
          <w:tcPr>
            <w:tcW w:type="dxa" w:w="415"/>
          </w:tcPr>
          <w:p>
            <w:r>
              <w:rPr/>
              <w:t>9</w:t>
            </w:r>
          </w:p>
        </w:tc>
        <w:tc>
          <w:tcPr>
            <w:tcW w:type="dxa" w:w="5814"/>
          </w:tcPr>
          <w:p>
            <w:r>
              <w:rPr>
                <w:sz w:val="21"/>
              </w:rPr>
              <w:t>（九）环境保护</w:t>
            </w:r>
          </w:p>
          <w:p>
            <w:r>
              <w:rPr>
                <w:sz w:val="21"/>
              </w:rPr>
              <w:t>1.成交人应遵守国家和地方有关环境保护的法规、规章，不得使有害物质(扬尘、废水、废油等)污染土地、河流，施工要控制噪声，防止扰民。若因违反环境保护有关规定而受到处罚或被要求赔偿，成交人应负全部责任。</w:t>
            </w:r>
          </w:p>
          <w:p>
            <w:r>
              <w:rPr>
                <w:sz w:val="21"/>
              </w:rPr>
              <w:t>2.成交人应保持施工区和生活区的环境卫生，设置足够的临时卫生设施，定期清理施工废弃物和垃圾，否则由此造成的损失和相关责任均由成交人承担，相关费用须考虑在报价中。</w:t>
            </w:r>
          </w:p>
          <w:p>
            <w:r>
              <w:rPr>
                <w:sz w:val="21"/>
              </w:rPr>
              <w:t>3.在全部工程完工后，除已征得采购人的同意外，成交人必须拆除一切必须拆除的临时施工设施和临时生活设施。拆除后的场地应彻底清理。凡采购人决定保留的设施，应由采购人与成交人协商解决处理办法。</w:t>
            </w:r>
          </w:p>
        </w:tc>
      </w:tr>
      <w:tr>
        <w:tc>
          <w:tcPr>
            <w:tcW w:type="dxa" w:w="2076"/>
          </w:tcPr>
          <w:p/>
        </w:tc>
        <w:tc>
          <w:tcPr>
            <w:tcW w:type="dxa" w:w="415"/>
          </w:tcPr>
          <w:p>
            <w:r>
              <w:rPr/>
              <w:t>10</w:t>
            </w:r>
          </w:p>
        </w:tc>
        <w:tc>
          <w:tcPr>
            <w:tcW w:type="dxa" w:w="5814"/>
          </w:tcPr>
          <w:p>
            <w:r>
              <w:rPr>
                <w:sz w:val="21"/>
              </w:rPr>
              <w:t>（十）违约责任</w:t>
            </w:r>
          </w:p>
          <w:p>
            <w:r>
              <w:rPr>
                <w:sz w:val="21"/>
              </w:rPr>
              <w:t>1.无正当理由放弃成交的供应商，采购人将保留追究其责任的权利，并上报有关主管部门对其进行处罚。</w:t>
            </w:r>
          </w:p>
          <w:p>
            <w:r>
              <w:rPr>
                <w:sz w:val="21"/>
              </w:rPr>
              <w:t>2.因承包单位责任达不到合同工期的，作不良行为记录。</w:t>
            </w:r>
          </w:p>
          <w:p>
            <w:r>
              <w:rPr>
                <w:sz w:val="21"/>
              </w:rPr>
              <w:t xml:space="preserve">3.对无视安全施工和文明施工要求，对建设等方所提的整改意见不见成效，按 《生产安全事故报告和调查处理条例》 和 《广东省住房和城乡建设厅关于建筑工程安全生产动态管理的办法》 处罚。  </w:t>
            </w:r>
          </w:p>
          <w:p>
            <w:pPr>
              <w:jc w:val="both"/>
            </w:pPr>
            <w:r>
              <w:rPr>
                <w:sz w:val="21"/>
              </w:rPr>
              <w:t>4.成交人须在合同签订后15个日历天内提供完整的办理施工许可证所需的施工单位的资料，若因成交人不按时提供资料造成无法办理施工许可证的，采购人将按合同价的3%元/天进行处罚，罚款总额不超过合同总价的10%；此外，成交人必须在约定工期内完工。若非建设单位及不可抗力的原因，每延误工期一天，扣罚合同价的3%，工期延误扣罚总额不超过工程合同价的10%。</w:t>
            </w:r>
          </w:p>
          <w:p>
            <w:r>
              <w:rPr>
                <w:sz w:val="21"/>
              </w:rPr>
              <w:t>5.工程竣工验收报告经采购人认可后28天内，成交人须向采购人递交竣工结算报告及完整的结算资料，双方按照协议书约定的合同价款及专用条款约定的合同条款调整内容，进行工程竣工验收，否则扣减工程结算总造价的0.5%，最高扣减不超过10万元，并记录在案，若成交人不按上述规定时间报送结算，采购人可对成交人发催报书面通知；在通知规定期限内仍不报送结算的，采购人有权按已有资料或按已付工程款办理结算。</w:t>
            </w:r>
          </w:p>
          <w:p>
            <w:r>
              <w:rPr>
                <w:sz w:val="21"/>
              </w:rPr>
              <w:t>6.成交人必须在完工后两个月内按相关规定提交工程资料办理竣工验收及结算，逾期未提交则视为成交人自动放弃竣工验收及结算，采购人可不予支付剩余工程款。如工程出现质量问题，采购人将聘请第三方进行处理，处理费用在剩余工程款中支付。</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1.采购代理机构：本项目是指广东人信工程咨询有限公司中山分公司，负责整个采购活动的组织，依法负责编制和发布磋商文件，对磋商文件拥有最终的解释权，不以任何身份出任磋商小组成员。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中山市港口镇农业农村局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采购机构代理服务收费标准：按国家计委颁发的计价格【2002】1980号文及发改价格[2011]534号文的规定按差额定率累进法计算，本项目按工程类招标收费标准，以成交金额为计费金额，计取采购代理服务费。</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p>
        </w:tc>
      </w:tr>
      <w:tr>
        <w:tc>
          <w:tcPr>
            <w:tcW w:type="dxa" w:w="1051"/>
          </w:tcPr>
          <w:p>
            <w:pPr>
              <w:jc w:val="center"/>
            </w:pPr>
            <w:r>
              <w:rPr/>
              <w:t>18</w:t>
            </w:r>
          </w:p>
        </w:tc>
        <w:tc>
          <w:tcPr>
            <w:tcW w:type="dxa" w:w="2252"/>
          </w:tcPr>
          <w:p>
            <w:r>
              <w:rPr/>
              <w:t>其他</w:t>
            </w:r>
          </w:p>
        </w:tc>
        <w:tc>
          <w:tcPr>
            <w:tcW w:type="dxa" w:w="5004"/>
          </w:tcPr>
          <w:p>
            <w:pPr>
              <w:jc w:val="left"/>
            </w:pPr>
            <w:r>
              <w:rPr/>
              <w:t>一、其他补充事宜，1.本项目采用电子系统进行招投标，请在磋商前详细阅读供应商操作手册，手册获取网址： https://gdgpo.czt.gd.gov.cn/help/transaction/gongyinshan.html。供应商在使用过程中遇到涉及系统使用的问题，可通过：020-88696588进行咨询或通过广东政府采购智慧云平台运维服务说明中提供的其他服务方式获取帮助。  2.供应商参加本项目磋商，需要提前办理CA和电子签章，办理方式和注意事项详见供应商操作手册与CA办理指南，指南获取地址：https://gdgpo.czt.gd.gov.cn/help/problem/。数字证书CA服务热线：400-887-6133。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4.供应商可在https://www.miit.gov.cn/xwdt/gxdt/sjdt/art/2020/art_7df47197b1114f2b871a6e8003cc5cfd.html扫描二维码自行登录中小企业规模类型自测小程序网站，自测企业规模。  5. 成交人于成交结果公告发布后5个工作日内，向采购代理机构提供与电子响应文件一致的纸质响应文件，正本1份，副本3份。</w:t>
            </w:r>
          </w:p>
          <w:p>
            <w:pPr>
              <w:jc w:val="left"/>
            </w:pPr>
            <w:r>
              <w:rPr/>
              <w:t>二、中山市政府采购支持中小微企业质押融资的说明，根据《关于印发〈中山市政府采购支持中小微企业质押融资的实施意见〉的通知》规定：1.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截至当前，辖内开展政府采购质押融资业务的银行机构报备的联系方式如下：1）中国农业发展银行中山市分行 客户业务部 邹可仕 18802598981 信贷与风险管理部 陈小龙 15889891688；2）中国工商银行中山分行 普惠金融事业部 陈炳菁 18928108782 普惠金融事业部 杨培鹏 15900085352；3）中国农业银行中山分行 普惠金融事业部 赖思韵 22644682；4）广发银行中山分行 普惠金融部 林光宇 88862643；5）中国邮政储蓄银行中山市分行 小企业金融部 黄嘉霖 13824720741；6）中山农村商业银行 总行公司业务部 杜保森 88884181；7）平安银行中山分行普惠金融部 林晓冰 13823931817 ；8）兴业银行中山分行 企业金融部 刘中芳 0760-88368666-203172；9）招商银行中山分行 公司金融事业部 唐庆颖 13924998608；10）中国光大银行中山分行 公司业务管理部 张梓颖 0760-88858067；11）广州银行中山分行 公司金融部 杨顺龙 88776919；12）中信银行中山分行 普惠金融部 陈廷忠 15113386853 普惠金融部 余超贤 15918291829；13） 渤海银行中山分行 公司金融部 李建夏 13631124024、0760-87911816 分行营业部 徐艺 13928142042、0760-87911808；14）华夏银行中山分行 营销管理部 叶怡 28137855；15）东莞银行中山分行 业务部 赵荣耀 13042854636/86939959；16）东亚银行（中国）有限公司中山支行 中山支行 王涛 89986282/18926998881；17）浦发银行中山分行 交易银行部付涛 0760-89982303  2.中小微企业有融资需求的，可通过应收账款融资服务平台（网址： 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 统，供银行机构融资授信时审慎性参考。</w:t>
            </w:r>
          </w:p>
          <w:p>
            <w:pPr>
              <w:jc w:val="left"/>
            </w:pPr>
            <w:r>
              <w:rPr/>
              <w:t>三、需要落实的政府采购政策，《政府采购促进中小企业发展管理办法》（财库〔2020〕46 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运用政府采购政策支持脱贫攻坚的通知》等。</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广东人信工程咨询有限公司中山分公司</w:t>
      </w:r>
      <w:r>
        <w:rPr/>
        <w:t>代收。具体操作要求详见</w:t>
      </w:r>
      <w:r>
        <w:rPr/>
        <w:t>广东人信工程咨询有限公司中山分公司</w:t>
      </w:r>
      <w:r>
        <w:rPr/>
        <w:t>有关指引，递交事宜请自行咨询</w:t>
      </w:r>
      <w:r>
        <w:rPr/>
        <w:t>广东人信工程咨询有限公司中山分公司</w:t>
      </w:r>
      <w:r>
        <w:rPr/>
        <w:t>；请各供应商在响应文件递交截止时间前按须知前附表规定的金额递交至</w:t>
      </w:r>
      <w:r>
        <w:rPr/>
        <w:t>广东人信工程咨询有限公司中山分公司</w:t>
      </w:r>
      <w:r>
        <w:rPr/>
        <w:t>，到账情况以开启时</w:t>
      </w:r>
      <w:r>
        <w:rPr/>
        <w:t>广东人信工程咨询有限公司中山分公司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中山市政府采购网(http://120.234.108.5:8088/zfcg/)，中山市公共资源交易网（https://ggzyjy.zs.gov.cn/），中山市港口镇政府网（http://www.zs.gov.cn/gkz/），广东人信工程咨询有限公司网站（http://www.gdrxzx.com/）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中山市政府采购网(http://120.234.108.5:8088/zfcg/)，中山市公共资源交易网（https://ggzyjy.zs.gov.cn/），中山市港口镇政府网（http://www.zs.gov.cn/gkz/），广东人信工程咨询有限公司网站（http://www.gdrxzx.com/）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0760-88838718</w:t>
      </w:r>
    </w:p>
    <w:p>
      <w:pPr>
        <w:ind w:firstLine="480"/>
      </w:pPr>
      <w:r>
        <w:rPr/>
        <w:t>传真：</w:t>
      </w:r>
      <w:r>
        <w:rPr/>
        <w:t>/</w:t>
      </w:r>
    </w:p>
    <w:p>
      <w:pPr>
        <w:ind w:firstLine="480"/>
      </w:pPr>
      <w:r>
        <w:rPr/>
        <w:t>邮箱：</w:t>
      </w:r>
      <w:r>
        <w:rPr/>
        <w:t>gdrxzs@163.com</w:t>
      </w:r>
    </w:p>
    <w:p>
      <w:pPr>
        <w:ind w:firstLine="480"/>
      </w:pPr>
      <w:r>
        <w:rPr/>
        <w:t>地址：</w:t>
      </w:r>
      <w:r>
        <w:rPr/>
        <w:t>中山火炬开发区孙文东路濠头段12号光裕大厦第五层A区</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采购包1(港口镇迎富三路农路工程)：综合评分法,是指响应文件满足磋商文件全部实质性要求，且按照评审因素的量化指标评审得分最高的投标人为成交候选人的评标方法。（最低报价不是成交的唯一依据。）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广东人信工程咨询有限公司中山分公司</w:t>
      </w:r>
      <w:r>
        <w:rPr/>
        <w:t>统一对外发布。</w:t>
      </w:r>
    </w:p>
    <w:p>
      <w:pPr>
        <w:ind w:firstLine="480"/>
      </w:pPr>
      <w:r>
        <w:rPr/>
        <w:t>（2）对</w:t>
      </w:r>
      <w:r>
        <w:rPr/>
        <w:t>广东人信工程咨询有限公司中山分公司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采购包1（港口镇迎富三路农路工程）：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采购包1（港口镇迎富三路农路工程）：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2022年7月1日以来任意1个月依法缴纳税收和社会保障资金的相关材料。如依法免税或不需要缴纳社会保障资金的，提供相应证明材料。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供应商必须具有良好的商业信誉和健全的财务会计制度（提供2021年度以来任一年度财务状况报告或提供磋商截止日前6个月内任意1个月的财务报表或基本开户行出具的资信证明）。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重大违法记录，是指供应商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http://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承诺函相关承诺要求内容。</w:t>
            </w:r>
          </w:p>
        </w:tc>
      </w:tr>
      <w:tr>
        <w:tc>
          <w:tcPr>
            <w:tcW w:type="dxa" w:w="890"/>
          </w:tcPr>
          <w:p>
            <w:r>
              <w:rPr/>
              <w:t>8</w:t>
            </w:r>
          </w:p>
        </w:tc>
        <w:tc>
          <w:tcPr>
            <w:tcW w:type="dxa" w:w="3178"/>
          </w:tcPr>
          <w:p>
            <w:r>
              <w:rPr/>
              <w:t>本项目特定的资格要求</w:t>
            </w:r>
          </w:p>
        </w:tc>
        <w:tc>
          <w:tcPr>
            <w:tcW w:type="dxa" w:w="4238"/>
          </w:tcPr>
          <w:p>
            <w:r>
              <w:rPr/>
              <w:t>①本采购包不接受联合体响应。②供应商须具有有效的市政公用工程施工总承包三级或以上资质，且具有有效的安全生产许可证（提供资质证书和安全生产许可证复印件并加盖公章, 如安全生产许可证为电子证书，提供含有行政审批部门专用章电子签章及二维码的安全生产许可证文件。资质证书、安全生产许可证过期的，如能提供相关部门顺延证书有效期的文件，且符合磋商文件规定的，则视为仍然有效。）</w:t>
            </w:r>
          </w:p>
        </w:tc>
      </w:tr>
      <w:tr>
        <w:tc>
          <w:tcPr>
            <w:tcW w:type="dxa" w:w="890"/>
          </w:tcPr>
          <w:p>
            <w:r>
              <w:rPr/>
              <w:t>9</w:t>
            </w:r>
          </w:p>
        </w:tc>
        <w:tc>
          <w:tcPr>
            <w:tcW w:type="dxa" w:w="3178"/>
          </w:tcPr>
          <w:p>
            <w:r>
              <w:rPr/>
              <w:t>本采购包专门面向中小企业采购</w:t>
            </w:r>
          </w:p>
        </w:tc>
        <w:tc>
          <w:tcPr>
            <w:tcW w:type="dxa" w:w="4238"/>
          </w:tcPr>
          <w:p>
            <w:r>
              <w:rPr/>
              <w:t>采购包整体专门面向中小企业，供应商须为中型或小型或微型企业或监狱企业或残疾人福利性单位。(供应商为中小微企业的，提供《中小企业声明函》。供应商为监狱企业的，提供由省级以上监狱管理局、戒毒管理局（含新疆生产建设兵团）出具的属于监狱企业的证明文件。供应商为残疾人福利性单位的，提供《残疾人福利性单位声明函》。)</w:t>
            </w:r>
          </w:p>
        </w:tc>
      </w:tr>
    </w:tbl>
    <w:p/>
    <w:p>
      <w:pPr>
        <w:ind w:firstLine="480"/>
      </w:pPr>
      <w:r>
        <w:rPr/>
        <w:t>表二符合性审查表：</w:t>
      </w:r>
    </w:p>
    <w:p>
      <w:pPr>
        <w:ind w:firstLine="480"/>
      </w:pPr>
    </w:p>
    <w:p/>
    <w:p>
      <w:r>
        <w:rPr/>
        <w:t>采购包1（港口镇迎富三路农路工程）：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响应承诺函及响应有效期符合要求。</w:t>
            </w:r>
          </w:p>
        </w:tc>
        <w:tc>
          <w:tcPr>
            <w:tcW w:type="dxa" w:w="4238"/>
          </w:tcPr>
          <w:p>
            <w:r>
              <w:rPr/>
              <w:t>响应承诺函及响应有效期符合要求。</w:t>
            </w:r>
          </w:p>
        </w:tc>
      </w:tr>
      <w:tr>
        <w:tc>
          <w:tcPr>
            <w:tcW w:type="dxa" w:w="890"/>
          </w:tcPr>
          <w:p>
            <w:r>
              <w:rPr/>
              <w:t>2</w:t>
            </w:r>
          </w:p>
        </w:tc>
        <w:tc>
          <w:tcPr>
            <w:tcW w:type="dxa" w:w="3178"/>
          </w:tcPr>
          <w:p>
            <w:r>
              <w:rPr/>
              <w:t>按磋商文件规定（以响应文件格式为准）加盖公章和签署。</w:t>
            </w:r>
          </w:p>
        </w:tc>
        <w:tc>
          <w:tcPr>
            <w:tcW w:type="dxa" w:w="4238"/>
          </w:tcPr>
          <w:p>
            <w:r>
              <w:rPr/>
              <w:t>按磋商文件规定（以响应文件格式为准）加盖公章和签署。</w:t>
            </w:r>
          </w:p>
        </w:tc>
      </w:tr>
      <w:tr>
        <w:tc>
          <w:tcPr>
            <w:tcW w:type="dxa" w:w="890"/>
          </w:tcPr>
          <w:p>
            <w:r>
              <w:rPr/>
              <w:t>3</w:t>
            </w:r>
          </w:p>
        </w:tc>
        <w:tc>
          <w:tcPr>
            <w:tcW w:type="dxa" w:w="3178"/>
          </w:tcPr>
          <w:p>
            <w:r>
              <w:rPr/>
              <w:t>已提交法定代表人证明书和授权委托书（供应商代表为法定代表人时则不需要授权委托书）。</w:t>
            </w:r>
          </w:p>
        </w:tc>
        <w:tc>
          <w:tcPr>
            <w:tcW w:type="dxa" w:w="4238"/>
          </w:tcPr>
          <w:p>
            <w:r>
              <w:rPr/>
              <w:t>已提交法定代表人证明书和授权委托书（供应商代表为法定代表人时则不需要授权委托书）。</w:t>
            </w:r>
          </w:p>
        </w:tc>
      </w:tr>
      <w:tr>
        <w:tc>
          <w:tcPr>
            <w:tcW w:type="dxa" w:w="890"/>
          </w:tcPr>
          <w:p>
            <w:r>
              <w:rPr/>
              <w:t>4</w:t>
            </w:r>
          </w:p>
        </w:tc>
        <w:tc>
          <w:tcPr>
            <w:tcW w:type="dxa" w:w="3178"/>
          </w:tcPr>
          <w:p>
            <w:r>
              <w:rPr/>
              <w:t>响应磋商文件中“★”条款内容。</w:t>
            </w:r>
          </w:p>
        </w:tc>
        <w:tc>
          <w:tcPr>
            <w:tcW w:type="dxa" w:w="4238"/>
          </w:tcPr>
          <w:p>
            <w:r>
              <w:rPr/>
              <w:t>响应磋商文件中“★”条款内容。</w:t>
            </w:r>
          </w:p>
        </w:tc>
      </w:tr>
      <w:tr>
        <w:tc>
          <w:tcPr>
            <w:tcW w:type="dxa" w:w="890"/>
          </w:tcPr>
          <w:p>
            <w:r>
              <w:rPr/>
              <w:t>5</w:t>
            </w:r>
          </w:p>
        </w:tc>
        <w:tc>
          <w:tcPr>
            <w:tcW w:type="dxa" w:w="3178"/>
          </w:tcPr>
          <w:p>
            <w:r>
              <w:rPr/>
              <w:t>投标（报价）</w:t>
            </w:r>
          </w:p>
        </w:tc>
        <w:tc>
          <w:tcPr>
            <w:tcW w:type="dxa" w:w="4238"/>
          </w:tcPr>
          <w:p>
            <w:r>
              <w:rPr/>
              <w:t>报价是固定且是唯一的，未超过本项目最高限价且绿色施工安全防护措施费(不含税)报价不低于103508.65元。磋商小组认为响应供应商的报价明显低于其他通过资格、符合性审查响应供应商的报价，有可能影响产品质量或者不能诚信履约的，应当要求其在磋商现场合理的时间内提供书面说明，必要时提交相关证明材料；响应供应商不能证明其报价合理性的，磋商小组应当将其作为无效报价处理。</w:t>
            </w:r>
          </w:p>
        </w:tc>
      </w:tr>
      <w:tr>
        <w:tc>
          <w:tcPr>
            <w:tcW w:type="dxa" w:w="890"/>
          </w:tcPr>
          <w:p>
            <w:r>
              <w:rPr/>
              <w:t>6</w:t>
            </w:r>
          </w:p>
        </w:tc>
        <w:tc>
          <w:tcPr>
            <w:tcW w:type="dxa" w:w="3178"/>
          </w:tcPr>
          <w:p>
            <w:r>
              <w:rPr/>
              <w:t>（投标）报价无重大不合理。</w:t>
            </w:r>
          </w:p>
        </w:tc>
        <w:tc>
          <w:tcPr>
            <w:tcW w:type="dxa" w:w="4238"/>
          </w:tcPr>
          <w:p>
            <w:r>
              <w:rPr/>
              <w:t>（投标）报价无重大不合理。</w:t>
            </w:r>
          </w:p>
        </w:tc>
      </w:tr>
      <w:tr>
        <w:tc>
          <w:tcPr>
            <w:tcW w:type="dxa" w:w="890"/>
          </w:tcPr>
          <w:p>
            <w:r>
              <w:rPr/>
              <w:t>7</w:t>
            </w:r>
          </w:p>
        </w:tc>
        <w:tc>
          <w:tcPr>
            <w:tcW w:type="dxa" w:w="3178"/>
          </w:tcPr>
          <w:p>
            <w:r>
              <w:rPr/>
              <w:t>无磋商文件或法规明确规定可以废标的其他情形。</w:t>
            </w:r>
          </w:p>
        </w:tc>
        <w:tc>
          <w:tcPr>
            <w:tcW w:type="dxa" w:w="4238"/>
          </w:tcPr>
          <w:p>
            <w:r>
              <w:rPr/>
              <w:t>无磋商文件或法规明确规定可以废标的其他情形。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采购包1港口镇迎富三路农路工程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施工方案 (15.0分)</w:t>
            </w:r>
          </w:p>
        </w:tc>
        <w:tc>
          <w:tcPr>
            <w:tcW w:type="dxa" w:w="5076"/>
          </w:tcPr>
          <w:p>
            <w:pPr>
              <w:jc w:val="left"/>
            </w:pPr>
            <w:r>
              <w:rPr/>
              <w:t>根据项目要求分析、项目管理、施工组织设计方案进行评审。 （1）项目要求分析准确，项目管理、施工组织设计方案全面、详细合理；服务实施流程科学、可行、完全满足用户需求，得15分； （2）项目要求分析基本准确，施工组织设计方案较全面、较合理；服务实施流程可行、基本满足用户需求，得12分； （3）项目要求分析、施工组织设计方案、实施流程有待完善，得8分； （4）施工组织设计方案欠妥；项目要求分析不满足用户需求，得3分。</w:t>
            </w:r>
          </w:p>
        </w:tc>
      </w:tr>
      <w:tr>
        <w:tc>
          <w:tcPr>
            <w:tcW w:type="dxa" w:w="922"/>
            <w:gridSpan w:val="2"/>
            <w:vMerge/>
          </w:tcPr>
          <w:p/>
        </w:tc>
        <w:tc>
          <w:tcPr>
            <w:tcW w:type="dxa" w:w="2307"/>
          </w:tcPr>
          <w:p>
            <w:pPr>
              <w:jc w:val="left"/>
            </w:pPr>
            <w:r>
              <w:rPr/>
              <w:t>材料和施工设备投入计划 (10.0分)</w:t>
            </w:r>
          </w:p>
        </w:tc>
        <w:tc>
          <w:tcPr>
            <w:tcW w:type="dxa" w:w="5076"/>
          </w:tcPr>
          <w:p>
            <w:pPr>
              <w:jc w:val="left"/>
            </w:pPr>
            <w:r>
              <w:rPr/>
              <w:t>根据材料和施工设备投入计划进行评审。 （1）投入本项目的材料和施工设备充足、配备科学合理，满足项目需求，得10分；  （2）投入本项目的材料和施工设备基本充足、配备较科学合理，基本满足项目需求，得8分；  （3）投入本项目的材料和施工设备较少，得5分；  （4）投入本项目的材料和施工设备不足，得2分。</w:t>
            </w:r>
          </w:p>
        </w:tc>
      </w:tr>
      <w:tr>
        <w:tc>
          <w:tcPr>
            <w:tcW w:type="dxa" w:w="922"/>
            <w:gridSpan w:val="2"/>
            <w:vMerge/>
          </w:tcPr>
          <w:p/>
        </w:tc>
        <w:tc>
          <w:tcPr>
            <w:tcW w:type="dxa" w:w="2307"/>
          </w:tcPr>
          <w:p>
            <w:pPr>
              <w:jc w:val="left"/>
            </w:pPr>
            <w:r>
              <w:rPr/>
              <w:t>应急方案 (10.0分)</w:t>
            </w:r>
          </w:p>
        </w:tc>
        <w:tc>
          <w:tcPr>
            <w:tcW w:type="dxa" w:w="5076"/>
          </w:tcPr>
          <w:p>
            <w:pPr>
              <w:jc w:val="left"/>
            </w:pPr>
            <w:r>
              <w:rPr/>
              <w:t>根据突发事件的处理方案、应急方案进行评审。 （1）突发情况下有应急措施，应急方案及应急流程合理，完全满足本项目需要，有充足的人员和装备应对突发情况、处理时间迅速，得10分； （2）突发情况下的应急措施、应急方案及应急流程较合理、基本满足本项目需要，有较充足的人员和装备应对突发情况、处理时间较快，得8分； （3）突发情况下的应急措施有待完善，应急方案及应急流程有待完善，得5分； （4）突发情况下的应急措施差，得2分。 没有应急方案不得分。</w:t>
            </w:r>
          </w:p>
        </w:tc>
      </w:tr>
      <w:tr>
        <w:tc>
          <w:tcPr>
            <w:tcW w:type="dxa" w:w="922"/>
            <w:gridSpan w:val="2"/>
            <w:vMerge/>
          </w:tcPr>
          <w:p/>
        </w:tc>
        <w:tc>
          <w:tcPr>
            <w:tcW w:type="dxa" w:w="2307"/>
          </w:tcPr>
          <w:p>
            <w:pPr>
              <w:jc w:val="left"/>
            </w:pPr>
            <w:r>
              <w:rPr/>
              <w:t>服务能力 (10.0分)</w:t>
            </w:r>
          </w:p>
        </w:tc>
        <w:tc>
          <w:tcPr>
            <w:tcW w:type="dxa" w:w="5076"/>
          </w:tcPr>
          <w:p>
            <w:pPr>
              <w:jc w:val="left"/>
            </w:pPr>
            <w:r>
              <w:rPr/>
              <w:t>根据供应商服务能力、服务响应时间、服务承诺进行评审。 （1）服务处理能力强，服务响应时间迅速及时、服务便捷，服务承诺完全满足磋商文件要求，得10分； （2）服务处理能力较强，服务响应时间较及时、服务较便捷，服务承诺基本满足磋商文件要求，得8分； （3）服务响应时间适中、服务便捷性不高，服务承诺与磋商文件要求契合度一般，得5分； （4）服务响应时间较慢，服务不能满足要求，得2分；</w:t>
            </w:r>
          </w:p>
        </w:tc>
      </w:tr>
      <w:tr>
        <w:tc>
          <w:tcPr>
            <w:tcW w:type="dxa" w:w="922"/>
            <w:gridSpan w:val="2"/>
            <w:vMerge w:val="restart"/>
          </w:tcPr>
          <w:p>
            <w:pPr>
              <w:jc w:val="center"/>
            </w:pPr>
            <w:r>
              <w:rPr/>
              <w:t>商务部分</w:t>
            </w:r>
          </w:p>
        </w:tc>
        <w:tc>
          <w:tcPr>
            <w:tcW w:type="dxa" w:w="2307"/>
          </w:tcPr>
          <w:p>
            <w:pPr>
              <w:jc w:val="left"/>
            </w:pPr>
            <w:r>
              <w:rPr/>
              <w:t>响应程度 (10.0分)</w:t>
            </w:r>
          </w:p>
        </w:tc>
        <w:tc>
          <w:tcPr>
            <w:tcW w:type="dxa" w:w="5076"/>
          </w:tcPr>
          <w:p>
            <w:pPr>
              <w:jc w:val="left"/>
            </w:pPr>
            <w:r>
              <w:rPr/>
              <w:t>对磋商文件采购需求中技术、商务要求的响应程度: （1）响应文件完整，技术、商务要求响应内容全面、具体，完全满足或优于磋商文件的要求，得10分； （2）响应文件较完整，技术、商务要求响应内容较全面、具体，基本满足磋商文件要求，得8分； （3）响应文件有缺陷，技术、商务要求响应内容顺序混乱，响应内容不全面，得5分； （4）响应文件有严重缺陷，技术、商务要求响应不全、表述模糊，得2分。</w:t>
            </w:r>
          </w:p>
        </w:tc>
      </w:tr>
      <w:tr>
        <w:tc>
          <w:tcPr>
            <w:tcW w:type="dxa" w:w="922"/>
            <w:gridSpan w:val="2"/>
            <w:vMerge/>
          </w:tcPr>
          <w:p/>
        </w:tc>
        <w:tc>
          <w:tcPr>
            <w:tcW w:type="dxa" w:w="2307"/>
          </w:tcPr>
          <w:p>
            <w:pPr>
              <w:jc w:val="left"/>
            </w:pPr>
            <w:r>
              <w:rPr/>
              <w:t>项目团队技术能力 (15.0分)</w:t>
            </w:r>
          </w:p>
        </w:tc>
        <w:tc>
          <w:tcPr>
            <w:tcW w:type="dxa" w:w="5076"/>
          </w:tcPr>
          <w:p>
            <w:pPr>
              <w:jc w:val="left"/>
            </w:pPr>
            <w:r>
              <w:rPr/>
              <w:t>项目管理机构情况： （1）人员配备优于项目要求、配备充足，人员专业技术水平高，得15分； （2）人员配备完全满足项目要求、人员专业技术水平较高，得12分； （3）人员配备基本满足项目要求、人员专业技术水平较低，得8分； （4）人员配备欠妥、人员专业技术水平差，得3分。 （注：1. 响应文件中提供人员证书证明文件复印件并加盖供应商公章；  2.提供2022年11月至 2023年1月供应商为其购买的社保证明复印件并加盖公章。若供应商未能提供人员社保的，可以在响应文件中提供相关承诺，视为满足社保评审要求（承诺书须盖公章，格式自行编制，承诺书内容包括但不限于以下内容：若我单位成交，合同签订前保证按响应文件中所配备投入本项目的人员全部到位并提供所有人员的社保证明或劳务合同，否则视为我单位放弃成交资格）。）</w:t>
            </w:r>
          </w:p>
        </w:tc>
      </w:tr>
      <w:tr>
        <w:tc>
          <w:tcPr>
            <w:tcW w:type="dxa" w:w="922"/>
            <w:gridSpan w:val="2"/>
            <w:vMerge/>
          </w:tcPr>
          <w:p/>
        </w:tc>
        <w:tc>
          <w:tcPr>
            <w:tcW w:type="dxa" w:w="2307"/>
          </w:tcPr>
          <w:p>
            <w:pPr>
              <w:jc w:val="left"/>
            </w:pPr>
            <w:r>
              <w:rPr/>
              <w:t>业绩 (20.0分)</w:t>
            </w:r>
          </w:p>
        </w:tc>
        <w:tc>
          <w:tcPr>
            <w:tcW w:type="dxa" w:w="5076"/>
          </w:tcPr>
          <w:p>
            <w:pPr>
              <w:jc w:val="left"/>
            </w:pPr>
            <w:r>
              <w:rPr/>
              <w:t>2020年1月1日以来（以合同签订日期为准）承接过同类项目业绩情况，每承接1个项目业绩得5分，满分得20分，没有不得分。 注：响应文件中提供合同关键页复印件并加盖供应商公章，合同关键页须含采购内容页、日期页、盖章页。</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磋商文件要求且投标价格最低的投标报价为评标基准价。】最低报价不是成交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sz w:val="52"/>
        </w:rPr>
        <w:t>施工合同范本</w:t>
      </w:r>
    </w:p>
    <w:p>
      <w:pPr>
        <w:jc w:val="center"/>
      </w:pPr>
      <w:r>
        <w:rPr>
          <w:sz w:val="24"/>
        </w:rPr>
        <w:t>（采用：《建设工程施工合同（示范文本）》（</w:t>
      </w:r>
      <w:r>
        <w:rPr>
          <w:sz w:val="24"/>
        </w:rPr>
        <w:t>GF-2017-0201）</w:t>
      </w:r>
    </w:p>
    <w:p>
      <w:pPr>
        <w:jc w:val="center"/>
      </w:pPr>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442000108-2023-00014</w:t>
      </w:r>
    </w:p>
    <w:p>
      <w:pPr>
        <w:jc w:val="center"/>
      </w:pPr>
      <w:r>
        <w:rPr>
          <w:b/>
          <w:sz w:val="24"/>
        </w:rPr>
        <w:t>采购项目编号：</w:t>
      </w:r>
      <w:r>
        <w:rPr>
          <w:b/>
          <w:sz w:val="24"/>
        </w:rPr>
        <w:t>442000108-2023-00014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广东人信工程咨询有限公司中山分公司</w:t>
      </w:r>
    </w:p>
    <w:p>
      <w:pPr>
        <w:ind w:firstLine="480"/>
      </w:pPr>
      <w:r>
        <w:rPr/>
        <w:t>你方组织的</w:t>
      </w:r>
      <w:r>
        <w:rPr>
          <w:u w:val="single"/>
        </w:rPr>
        <w:t>“</w:t>
      </w:r>
      <w:r>
        <w:rPr>
          <w:u w:val="single"/>
        </w:rPr>
        <w:t>港口镇迎富三路农路工程</w:t>
      </w:r>
      <w:r>
        <w:rPr>
          <w:u w:val="single"/>
        </w:rPr>
        <w:t>”</w:t>
      </w:r>
      <w:r>
        <w:rPr/>
        <w:t>项目的竞争性磋商[采购项目编号为：</w:t>
      </w:r>
      <w:r>
        <w:rPr>
          <w:u w:val="single"/>
        </w:rPr>
        <w:t>442000108-2023-00014</w:t>
      </w:r>
      <w:r>
        <w:rPr/>
        <w:t>]，我方愿参与响应。</w:t>
      </w:r>
    </w:p>
    <w:p>
      <w:pPr>
        <w:ind w:firstLine="480"/>
      </w:pPr>
      <w:r>
        <w:rPr/>
        <w:t>我方确认收到贵方提供的</w:t>
      </w:r>
      <w:r>
        <w:rPr>
          <w:u w:val="single"/>
        </w:rPr>
        <w:t>“</w:t>
      </w:r>
      <w:r>
        <w:rPr>
          <w:u w:val="single"/>
        </w:rPr>
        <w:t>港口镇迎富三路农路工程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广东人信工程咨询有限公司中山分公司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港口镇迎富三路农路工程</w:t>
      </w:r>
      <w:r>
        <w:rPr/>
        <w:t>”项目采购[采购项目编号为</w:t>
      </w:r>
      <w:r>
        <w:rPr/>
        <w:t>442000108-2023-00014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中山市港口镇农业农村局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广东人信工程咨询有限公司中山分公司</w:t>
      </w:r>
    </w:p>
    <w:p>
      <w:pPr>
        <w:ind w:firstLine="480"/>
      </w:pPr>
      <w:r>
        <w:rPr/>
        <w:t>我单位参加贵公司组织的</w:t>
      </w:r>
      <w:r>
        <w:rPr/>
        <w:t>港口镇迎富三路农路工程</w:t>
      </w:r>
      <w:r>
        <w:rPr/>
        <w:t>（采购项目编号：</w:t>
      </w:r>
      <w:r>
        <w:rPr/>
        <w:t>442000108-2023-00014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广东人信工程咨询有限公司中山分公司</w:t>
      </w:r>
    </w:p>
    <w:p>
      <w:pPr>
        <w:ind w:firstLine="480"/>
      </w:pPr>
      <w:r>
        <w:rPr/>
        <w:t>我单位已登记并准备参与“</w:t>
      </w:r>
      <w:r>
        <w:rPr/>
        <w:t>港口镇迎富三路农路工程</w:t>
      </w:r>
      <w:r>
        <w:rPr/>
        <w:t>”项目（采购项目编号：</w:t>
      </w:r>
      <w:r>
        <w:rPr/>
        <w:t>442000108-2023-00014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