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中山市民政局项目采购评审表（服</w:t>
      </w:r>
      <w:bookmarkStart w:id="0" w:name="_GoBack"/>
      <w:bookmarkEnd w:id="0"/>
      <w:r>
        <w:rPr>
          <w:rFonts w:hint="eastAsia" w:ascii="方正小标宋简体" w:hAnsi="方正小标宋简体" w:eastAsia="方正小标宋简体" w:cs="方正小标宋简体"/>
          <w:sz w:val="44"/>
          <w:szCs w:val="44"/>
          <w:u w:val="none"/>
        </w:rPr>
        <w:t>务类）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Times New Roman" w:hAnsi="Times New Roman" w:eastAsia="仿宋_GB2312" w:cs="Times New Roman"/>
          <w:sz w:val="32"/>
          <w:szCs w:val="32"/>
          <w:u w:val="none"/>
          <w:lang w:val="en-US" w:eastAsia="zh-CN"/>
        </w:rPr>
      </w:pPr>
      <w:r>
        <w:rPr>
          <w:rFonts w:ascii="Times New Roman" w:hAnsi="Times New Roman" w:eastAsia="仿宋_GB2312" w:cs="Times New Roman"/>
          <w:sz w:val="32"/>
          <w:szCs w:val="32"/>
          <w:u w:val="none"/>
        </w:rPr>
        <w:t>项目名称：</w:t>
      </w:r>
      <w:r>
        <w:rPr>
          <w:rFonts w:hint="eastAsia" w:ascii="Times New Roman" w:hAnsi="Times New Roman" w:eastAsia="仿宋_GB2312" w:cs="Times New Roman"/>
          <w:sz w:val="32"/>
          <w:szCs w:val="32"/>
          <w:u w:val="none"/>
          <w:lang w:val="en-US" w:eastAsia="zh-CN"/>
        </w:rPr>
        <w:t>2023年度残疾人信息核查及帮扶项目</w:t>
      </w:r>
    </w:p>
    <w:tbl>
      <w:tblPr>
        <w:tblStyle w:val="3"/>
        <w:tblW w:w="0" w:type="auto"/>
        <w:jc w:val="center"/>
        <w:tblLayout w:type="fixed"/>
        <w:tblCellMar>
          <w:top w:w="0" w:type="dxa"/>
          <w:left w:w="108" w:type="dxa"/>
          <w:bottom w:w="0" w:type="dxa"/>
          <w:right w:w="108" w:type="dxa"/>
        </w:tblCellMar>
      </w:tblPr>
      <w:tblGrid>
        <w:gridCol w:w="669"/>
        <w:gridCol w:w="8024"/>
        <w:gridCol w:w="900"/>
        <w:gridCol w:w="1784"/>
        <w:gridCol w:w="1783"/>
        <w:gridCol w:w="1509"/>
      </w:tblGrid>
      <w:tr>
        <w:tblPrEx>
          <w:tblCellMar>
            <w:top w:w="0" w:type="dxa"/>
            <w:left w:w="108" w:type="dxa"/>
            <w:bottom w:w="0" w:type="dxa"/>
            <w:right w:w="108" w:type="dxa"/>
          </w:tblCellMar>
        </w:tblPrEx>
        <w:trPr>
          <w:trHeight w:val="1036" w:hRule="atLeas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宋体" w:hAnsi="宋体" w:eastAsia="宋体" w:cs="宋体"/>
                <w:b/>
                <w:bCs/>
                <w:color w:val="000000"/>
                <w:sz w:val="24"/>
                <w:u w:val="none"/>
              </w:rPr>
            </w:pPr>
            <w:r>
              <w:rPr>
                <w:rFonts w:hint="eastAsia" w:ascii="宋体" w:hAnsi="宋体" w:eastAsia="宋体" w:cs="宋体"/>
                <w:b/>
                <w:bCs/>
                <w:color w:val="000000"/>
                <w:kern w:val="0"/>
                <w:sz w:val="24"/>
                <w:u w:val="none"/>
                <w:lang w:bidi="ar"/>
              </w:rPr>
              <w:t>序号</w:t>
            </w:r>
          </w:p>
        </w:tc>
        <w:tc>
          <w:tcPr>
            <w:tcW w:w="8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宋体" w:hAnsi="宋体" w:eastAsia="宋体" w:cs="宋体"/>
                <w:b/>
                <w:bCs/>
                <w:color w:val="000000"/>
                <w:sz w:val="24"/>
                <w:u w:val="none"/>
              </w:rPr>
            </w:pPr>
            <w:r>
              <w:rPr>
                <w:rFonts w:hint="eastAsia" w:ascii="宋体" w:hAnsi="宋体" w:eastAsia="宋体" w:cs="宋体"/>
                <w:b/>
                <w:bCs/>
                <w:color w:val="000000"/>
                <w:kern w:val="0"/>
                <w:sz w:val="24"/>
                <w:u w:val="none"/>
                <w:lang w:bidi="ar"/>
              </w:rPr>
              <w:t>评审指标</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宋体" w:hAnsi="宋体" w:eastAsia="宋体" w:cs="宋体"/>
                <w:b/>
                <w:bCs/>
                <w:color w:val="000000"/>
                <w:sz w:val="24"/>
                <w:u w:val="none"/>
              </w:rPr>
            </w:pPr>
            <w:r>
              <w:rPr>
                <w:rFonts w:hint="eastAsia" w:ascii="宋体" w:hAnsi="宋体" w:eastAsia="宋体" w:cs="宋体"/>
                <w:b/>
                <w:bCs/>
                <w:color w:val="000000"/>
                <w:kern w:val="0"/>
                <w:sz w:val="24"/>
                <w:u w:val="none"/>
                <w:lang w:bidi="ar"/>
              </w:rPr>
              <w:t>分值</w:t>
            </w:r>
          </w:p>
        </w:tc>
        <w:tc>
          <w:tcPr>
            <w:tcW w:w="178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default" w:ascii="宋体" w:hAnsi="宋体" w:eastAsia="宋体" w:cs="宋体"/>
                <w:b/>
                <w:bCs/>
                <w:color w:val="000000"/>
                <w:kern w:val="0"/>
                <w:sz w:val="24"/>
                <w:u w:val="none"/>
                <w:lang w:val="en-US" w:eastAsia="zh-CN" w:bidi="ar"/>
              </w:rPr>
            </w:pPr>
            <w:r>
              <w:rPr>
                <w:rFonts w:hint="eastAsia" w:ascii="宋体" w:hAnsi="宋体" w:cs="宋体"/>
                <w:b/>
                <w:bCs/>
                <w:color w:val="000000"/>
                <w:kern w:val="0"/>
                <w:sz w:val="24"/>
                <w:u w:val="none"/>
                <w:lang w:val="en-US" w:eastAsia="zh-CN" w:bidi="ar"/>
              </w:rPr>
              <w:t>单位A</w:t>
            </w:r>
          </w:p>
        </w:tc>
        <w:tc>
          <w:tcPr>
            <w:tcW w:w="1783"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default" w:ascii="宋体" w:hAnsi="宋体" w:eastAsia="宋体" w:cs="宋体"/>
                <w:b/>
                <w:bCs/>
                <w:color w:val="000000"/>
                <w:kern w:val="0"/>
                <w:sz w:val="24"/>
                <w:u w:val="none"/>
                <w:lang w:val="en-US" w:eastAsia="zh-CN" w:bidi="ar"/>
              </w:rPr>
            </w:pPr>
            <w:r>
              <w:rPr>
                <w:rFonts w:hint="eastAsia" w:ascii="宋体" w:hAnsi="宋体" w:cs="宋体"/>
                <w:b/>
                <w:bCs/>
                <w:color w:val="000000"/>
                <w:kern w:val="0"/>
                <w:sz w:val="24"/>
                <w:u w:val="none"/>
                <w:lang w:val="en-US" w:eastAsia="zh-CN" w:bidi="ar"/>
              </w:rPr>
              <w:t>单位B</w:t>
            </w:r>
          </w:p>
        </w:tc>
        <w:tc>
          <w:tcPr>
            <w:tcW w:w="15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default" w:ascii="宋体" w:hAnsi="宋体" w:eastAsia="宋体" w:cs="宋体"/>
                <w:b/>
                <w:bCs/>
                <w:color w:val="000000"/>
                <w:kern w:val="0"/>
                <w:sz w:val="24"/>
                <w:u w:val="none"/>
                <w:lang w:val="en-US" w:eastAsia="zh-CN" w:bidi="ar"/>
              </w:rPr>
            </w:pPr>
            <w:r>
              <w:rPr>
                <w:rFonts w:hint="eastAsia" w:ascii="宋体" w:hAnsi="宋体" w:cs="宋体"/>
                <w:b/>
                <w:bCs/>
                <w:color w:val="000000"/>
                <w:kern w:val="0"/>
                <w:sz w:val="24"/>
                <w:u w:val="none"/>
                <w:lang w:val="en-US" w:eastAsia="zh-CN" w:bidi="ar"/>
              </w:rPr>
              <w:t>单位C</w:t>
            </w:r>
          </w:p>
        </w:tc>
      </w:tr>
      <w:tr>
        <w:tblPrEx>
          <w:tblCellMar>
            <w:top w:w="0" w:type="dxa"/>
            <w:left w:w="108" w:type="dxa"/>
            <w:bottom w:w="0" w:type="dxa"/>
            <w:right w:w="108" w:type="dxa"/>
          </w:tblCellMar>
        </w:tblPrEx>
        <w:trPr>
          <w:trHeight w:val="85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1</w:t>
            </w:r>
          </w:p>
        </w:tc>
        <w:tc>
          <w:tcPr>
            <w:tcW w:w="8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rPr>
            </w:pPr>
            <w:r>
              <w:rPr>
                <w:rFonts w:hint="eastAsia" w:ascii="宋体" w:hAnsi="宋体" w:eastAsia="宋体" w:cs="宋体"/>
                <w:color w:val="000000"/>
                <w:kern w:val="0"/>
                <w:sz w:val="24"/>
                <w:u w:val="none"/>
                <w:lang w:bidi="ar"/>
              </w:rPr>
              <w:t>资格审核</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1）商业信誉差，注册情况差、证照不齐全得</w:t>
            </w:r>
            <w:r>
              <w:rPr>
                <w:rFonts w:hint="eastAsia" w:ascii="宋体" w:hAnsi="宋体" w:eastAsia="宋体" w:cs="宋体"/>
                <w:color w:val="000000"/>
                <w:kern w:val="0"/>
                <w:sz w:val="24"/>
                <w:u w:val="none"/>
                <w:lang w:val="en-US" w:eastAsia="zh-CN" w:bidi="ar"/>
              </w:rPr>
              <w:t>0-5</w:t>
            </w:r>
            <w:r>
              <w:rPr>
                <w:rFonts w:hint="eastAsia" w:ascii="宋体" w:hAnsi="宋体" w:cs="宋体"/>
                <w:color w:val="000000"/>
                <w:kern w:val="0"/>
                <w:sz w:val="24"/>
                <w:u w:val="none"/>
                <w:lang w:val="en-US" w:eastAsia="zh-CN" w:bidi="ar"/>
              </w:rPr>
              <w:t>；</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2）商业信誉较差，注册情况较差、证照不齐全得</w:t>
            </w:r>
            <w:r>
              <w:rPr>
                <w:rFonts w:hint="eastAsia" w:ascii="宋体" w:hAnsi="宋体" w:eastAsia="宋体" w:cs="宋体"/>
                <w:color w:val="000000"/>
                <w:kern w:val="0"/>
                <w:sz w:val="24"/>
                <w:u w:val="none"/>
                <w:lang w:val="en-US" w:eastAsia="zh-CN" w:bidi="ar"/>
              </w:rPr>
              <w:t>5-7</w:t>
            </w:r>
            <w:r>
              <w:rPr>
                <w:rFonts w:hint="eastAsia" w:ascii="宋体" w:hAnsi="宋体" w:cs="宋体"/>
                <w:color w:val="000000"/>
                <w:kern w:val="0"/>
                <w:sz w:val="24"/>
                <w:u w:val="none"/>
                <w:lang w:val="en-US" w:eastAsia="zh-CN" w:bidi="ar"/>
              </w:rPr>
              <w:t>；</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3）商业信誉较好，注册情况较好、证照齐全得</w:t>
            </w:r>
            <w:r>
              <w:rPr>
                <w:rFonts w:hint="eastAsia" w:ascii="宋体" w:hAnsi="宋体" w:eastAsia="宋体" w:cs="宋体"/>
                <w:color w:val="000000"/>
                <w:kern w:val="0"/>
                <w:sz w:val="24"/>
                <w:u w:val="none"/>
                <w:lang w:val="en-US" w:eastAsia="zh-CN" w:bidi="ar"/>
              </w:rPr>
              <w:t>7-9</w:t>
            </w:r>
            <w:r>
              <w:rPr>
                <w:rFonts w:hint="eastAsia" w:ascii="宋体" w:hAnsi="宋体" w:cs="宋体"/>
                <w:color w:val="000000"/>
                <w:kern w:val="0"/>
                <w:sz w:val="24"/>
                <w:u w:val="none"/>
                <w:lang w:val="en-US" w:eastAsia="zh-CN" w:bidi="ar"/>
              </w:rPr>
              <w:t>；</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000000"/>
                <w:kern w:val="0"/>
                <w:sz w:val="24"/>
                <w:u w:val="none"/>
                <w:lang w:eastAsia="zh-CN" w:bidi="ar"/>
              </w:rPr>
            </w:pPr>
            <w:r>
              <w:rPr>
                <w:rFonts w:hint="eastAsia" w:ascii="宋体" w:hAnsi="宋体" w:cs="宋体"/>
                <w:color w:val="000000"/>
                <w:kern w:val="0"/>
                <w:sz w:val="24"/>
                <w:u w:val="none"/>
                <w:lang w:val="en-US" w:eastAsia="zh-CN" w:bidi="ar"/>
              </w:rPr>
              <w:t>4）商业信誉好，注册情况好、证照齐全得</w:t>
            </w:r>
            <w:r>
              <w:rPr>
                <w:rFonts w:hint="eastAsia" w:ascii="宋体" w:hAnsi="宋体" w:eastAsia="宋体" w:cs="宋体"/>
                <w:color w:val="000000"/>
                <w:kern w:val="0"/>
                <w:sz w:val="24"/>
                <w:u w:val="none"/>
                <w:lang w:val="en-US" w:eastAsia="zh-CN" w:bidi="ar"/>
              </w:rPr>
              <w:t>9-10</w:t>
            </w:r>
            <w:r>
              <w:rPr>
                <w:rFonts w:hint="eastAsia" w:ascii="宋体" w:hAnsi="宋体" w:cs="宋体"/>
                <w:color w:val="000000"/>
                <w:kern w:val="0"/>
                <w:sz w:val="24"/>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10</w:t>
            </w:r>
          </w:p>
        </w:tc>
        <w:tc>
          <w:tcPr>
            <w:tcW w:w="178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783"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5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r>
      <w:tr>
        <w:tblPrEx>
          <w:tblCellMar>
            <w:top w:w="0" w:type="dxa"/>
            <w:left w:w="108" w:type="dxa"/>
            <w:bottom w:w="0" w:type="dxa"/>
            <w:right w:w="108" w:type="dxa"/>
          </w:tblCellMar>
        </w:tblPrEx>
        <w:trPr>
          <w:trHeight w:val="80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2</w:t>
            </w:r>
          </w:p>
        </w:tc>
        <w:tc>
          <w:tcPr>
            <w:tcW w:w="8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投标方案（投标文件是否完整、对本项目工作的理解、方案合理性及可行性等）</w:t>
            </w:r>
          </w:p>
          <w:p>
            <w:pPr>
              <w:pStyle w:val="2"/>
              <w:keepNext w:val="0"/>
              <w:keepLines w:val="0"/>
              <w:pageBreakBefore w:val="0"/>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1）投标文件不完整，对残疾人信息核查及帮扶工作不太理解，方案基本详细、基本合理、措施基本可行的得0-15分；</w:t>
            </w:r>
          </w:p>
          <w:p>
            <w:pPr>
              <w:pStyle w:val="2"/>
              <w:keepNext w:val="0"/>
              <w:keepLines w:val="0"/>
              <w:pageBreakBefore w:val="0"/>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2）投标文件不完整，对残疾人信息核查及帮扶工作基本理解，方案基本详细、基本合理、措施基本可行的得15-20分；</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3）投标文件完整，对残疾人信息核查及帮扶工作理解深刻，方案基本详细、较合理、措施较为具体、可行的得20-25分；</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000000"/>
                <w:kern w:val="0"/>
                <w:sz w:val="24"/>
                <w:u w:val="none"/>
                <w:lang w:bidi="ar"/>
              </w:rPr>
            </w:pPr>
            <w:r>
              <w:rPr>
                <w:rFonts w:hint="eastAsia" w:ascii="宋体" w:hAnsi="宋体" w:cs="宋体"/>
                <w:color w:val="000000"/>
                <w:kern w:val="0"/>
                <w:sz w:val="24"/>
                <w:u w:val="none"/>
                <w:lang w:val="en-US" w:eastAsia="zh-CN" w:bidi="ar"/>
              </w:rPr>
              <w:t>4）投标文件完整，对残疾人信息核查及帮扶工作理解深刻、非常全面，方案非常详细、非常合理、措施非常具体、可行性高的得25-30分。</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sz w:val="24"/>
                <w:u w:val="none"/>
                <w:lang w:val="en-US" w:eastAsia="zh-CN"/>
              </w:rPr>
            </w:pPr>
            <w:r>
              <w:rPr>
                <w:rFonts w:hint="eastAsia" w:ascii="宋体" w:hAnsi="宋体" w:cs="宋体"/>
                <w:color w:val="000000"/>
                <w:kern w:val="0"/>
                <w:sz w:val="24"/>
                <w:u w:val="none"/>
                <w:lang w:val="en-US" w:eastAsia="zh-CN" w:bidi="ar"/>
              </w:rPr>
              <w:t>30</w:t>
            </w:r>
          </w:p>
        </w:tc>
        <w:tc>
          <w:tcPr>
            <w:tcW w:w="178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783"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5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r>
      <w:tr>
        <w:tblPrEx>
          <w:tblCellMar>
            <w:top w:w="0" w:type="dxa"/>
            <w:left w:w="108" w:type="dxa"/>
            <w:bottom w:w="0" w:type="dxa"/>
            <w:right w:w="108" w:type="dxa"/>
          </w:tblCellMar>
        </w:tblPrEx>
        <w:trPr>
          <w:trHeight w:val="778"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3</w:t>
            </w:r>
          </w:p>
        </w:tc>
        <w:tc>
          <w:tcPr>
            <w:tcW w:w="8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000000"/>
                <w:kern w:val="0"/>
                <w:sz w:val="24"/>
                <w:u w:val="none"/>
                <w:lang w:bidi="ar"/>
              </w:rPr>
            </w:pPr>
            <w:r>
              <w:rPr>
                <w:rFonts w:hint="eastAsia" w:ascii="宋体" w:hAnsi="宋体" w:eastAsia="宋体" w:cs="宋体"/>
                <w:color w:val="000000"/>
                <w:kern w:val="0"/>
                <w:sz w:val="24"/>
                <w:u w:val="none"/>
                <w:lang w:bidi="ar"/>
              </w:rPr>
              <w:t>报价情况</w:t>
            </w:r>
          </w:p>
          <w:p>
            <w:pPr>
              <w:pStyle w:val="2"/>
              <w:keepNext w:val="0"/>
              <w:keepLines w:val="0"/>
              <w:pageBreakBefore w:val="0"/>
              <w:numPr>
                <w:ilvl w:val="0"/>
                <w:numId w:val="1"/>
              </w:numPr>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报价第四及其后单位得0-5分；</w:t>
            </w:r>
          </w:p>
          <w:p>
            <w:pPr>
              <w:pStyle w:val="2"/>
              <w:keepNext w:val="0"/>
              <w:keepLines w:val="0"/>
              <w:pageBreakBefore w:val="0"/>
              <w:numPr>
                <w:ilvl w:val="0"/>
                <w:numId w:val="1"/>
              </w:numPr>
              <w:kinsoku/>
              <w:wordWrap/>
              <w:overflowPunct/>
              <w:topLinePunct w:val="0"/>
              <w:autoSpaceDE/>
              <w:autoSpaceDN/>
              <w:bidi w:val="0"/>
              <w:adjustRightInd/>
              <w:snapToGrid/>
              <w:spacing w:line="240" w:lineRule="auto"/>
              <w:rPr>
                <w:rFonts w:hint="default"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报价第三低的得5-7分；</w:t>
            </w:r>
          </w:p>
          <w:p>
            <w:pPr>
              <w:pStyle w:val="2"/>
              <w:keepNext w:val="0"/>
              <w:keepLines w:val="0"/>
              <w:pageBreakBefore w:val="0"/>
              <w:numPr>
                <w:ilvl w:val="0"/>
                <w:numId w:val="1"/>
              </w:numPr>
              <w:kinsoku/>
              <w:wordWrap/>
              <w:overflowPunct/>
              <w:topLinePunct w:val="0"/>
              <w:autoSpaceDE/>
              <w:autoSpaceDN/>
              <w:bidi w:val="0"/>
              <w:adjustRightInd/>
              <w:snapToGrid/>
              <w:spacing w:line="240" w:lineRule="auto"/>
              <w:rPr>
                <w:rFonts w:hint="default"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报价次低的得7-9分；</w:t>
            </w:r>
          </w:p>
          <w:p>
            <w:pPr>
              <w:pStyle w:val="2"/>
              <w:keepNext w:val="0"/>
              <w:keepLines w:val="0"/>
              <w:pageBreakBefore w:val="0"/>
              <w:numPr>
                <w:ilvl w:val="0"/>
                <w:numId w:val="1"/>
              </w:numPr>
              <w:kinsoku/>
              <w:wordWrap/>
              <w:overflowPunct/>
              <w:topLinePunct w:val="0"/>
              <w:autoSpaceDE/>
              <w:autoSpaceDN/>
              <w:bidi w:val="0"/>
              <w:adjustRightInd/>
              <w:snapToGrid/>
              <w:spacing w:line="240" w:lineRule="auto"/>
              <w:rPr>
                <w:rFonts w:ascii="宋体" w:hAnsi="宋体" w:eastAsia="宋体" w:cs="宋体"/>
                <w:color w:val="000000"/>
                <w:sz w:val="24"/>
                <w:u w:val="none"/>
              </w:rPr>
            </w:pPr>
            <w:r>
              <w:rPr>
                <w:rFonts w:hint="eastAsia" w:ascii="宋体" w:hAnsi="宋体" w:cs="宋体"/>
                <w:color w:val="000000"/>
                <w:kern w:val="0"/>
                <w:sz w:val="24"/>
                <w:u w:val="none"/>
                <w:lang w:val="en-US" w:eastAsia="zh-CN" w:bidi="ar"/>
              </w:rPr>
              <w:t>报价最低的得9-10分。</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sz w:val="24"/>
                <w:u w:val="none"/>
                <w:lang w:val="en-US" w:eastAsia="zh-CN"/>
              </w:rPr>
            </w:pPr>
            <w:r>
              <w:rPr>
                <w:rFonts w:hint="eastAsia" w:ascii="宋体" w:hAnsi="宋体" w:cs="宋体"/>
                <w:color w:val="000000"/>
                <w:kern w:val="0"/>
                <w:sz w:val="24"/>
                <w:u w:val="none"/>
                <w:lang w:val="en-US" w:eastAsia="zh-CN" w:bidi="ar"/>
              </w:rPr>
              <w:t>10</w:t>
            </w:r>
          </w:p>
        </w:tc>
        <w:tc>
          <w:tcPr>
            <w:tcW w:w="178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783"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5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r>
      <w:tr>
        <w:tblPrEx>
          <w:tblCellMar>
            <w:top w:w="0" w:type="dxa"/>
            <w:left w:w="108" w:type="dxa"/>
            <w:bottom w:w="0" w:type="dxa"/>
            <w:right w:w="108" w:type="dxa"/>
          </w:tblCellMar>
        </w:tblPrEx>
        <w:trPr>
          <w:trHeight w:val="748"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4</w:t>
            </w:r>
          </w:p>
        </w:tc>
        <w:tc>
          <w:tcPr>
            <w:tcW w:w="8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基础工作安排及进度管理</w:t>
            </w:r>
          </w:p>
          <w:p>
            <w:pPr>
              <w:pStyle w:val="2"/>
              <w:keepNext w:val="0"/>
              <w:keepLines w:val="0"/>
              <w:pageBreakBefore w:val="0"/>
              <w:numPr>
                <w:ilvl w:val="0"/>
                <w:numId w:val="2"/>
              </w:numPr>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工作安排计划很不清晰、节点非常模糊、人员不充足的得0-12分；</w:t>
            </w:r>
          </w:p>
          <w:p>
            <w:pPr>
              <w:pStyle w:val="2"/>
              <w:keepNext w:val="0"/>
              <w:keepLines w:val="0"/>
              <w:pageBreakBefore w:val="0"/>
              <w:numPr>
                <w:ilvl w:val="0"/>
                <w:numId w:val="2"/>
              </w:numPr>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工作安排计划不清晰、节点模糊、人员不充足的得12-18分；</w:t>
            </w:r>
          </w:p>
          <w:p>
            <w:pPr>
              <w:pStyle w:val="2"/>
              <w:keepNext w:val="0"/>
              <w:keepLines w:val="0"/>
              <w:pageBreakBefore w:val="0"/>
              <w:numPr>
                <w:ilvl w:val="0"/>
                <w:numId w:val="2"/>
              </w:numPr>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工作安排计划较完善、节点较明确、人员较充足的得18-22分；</w:t>
            </w:r>
          </w:p>
          <w:p>
            <w:pPr>
              <w:pStyle w:val="2"/>
              <w:keepNext w:val="0"/>
              <w:keepLines w:val="0"/>
              <w:pageBreakBefore w:val="0"/>
              <w:numPr>
                <w:ilvl w:val="0"/>
                <w:numId w:val="2"/>
              </w:numPr>
              <w:kinsoku/>
              <w:wordWrap/>
              <w:overflowPunct/>
              <w:topLinePunct w:val="0"/>
              <w:autoSpaceDE/>
              <w:autoSpaceDN/>
              <w:bidi w:val="0"/>
              <w:adjustRightInd/>
              <w:snapToGrid/>
              <w:spacing w:line="240" w:lineRule="auto"/>
              <w:rPr>
                <w:rFonts w:hint="eastAsia" w:ascii="宋体" w:hAnsi="宋体" w:eastAsia="宋体" w:cs="宋体"/>
                <w:color w:val="000000"/>
                <w:kern w:val="0"/>
                <w:sz w:val="24"/>
                <w:u w:val="none"/>
                <w:lang w:bidi="ar"/>
              </w:rPr>
            </w:pPr>
            <w:r>
              <w:rPr>
                <w:rFonts w:hint="eastAsia" w:ascii="宋体" w:hAnsi="宋体" w:cs="宋体"/>
                <w:color w:val="000000"/>
                <w:kern w:val="0"/>
                <w:sz w:val="24"/>
                <w:u w:val="none"/>
                <w:lang w:val="en-US" w:eastAsia="zh-CN" w:bidi="ar"/>
              </w:rPr>
              <w:t>工作安排计划完善、节点明确、人员充足的得22-25分；</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sz w:val="24"/>
                <w:u w:val="none"/>
                <w:lang w:eastAsia="zh-CN"/>
              </w:rPr>
            </w:pPr>
            <w:r>
              <w:rPr>
                <w:rFonts w:hint="eastAsia" w:ascii="宋体" w:hAnsi="宋体" w:cs="宋体"/>
                <w:color w:val="000000"/>
                <w:kern w:val="0"/>
                <w:sz w:val="24"/>
                <w:u w:val="none"/>
                <w:lang w:bidi="ar"/>
              </w:rPr>
              <w:t>2</w:t>
            </w:r>
            <w:r>
              <w:rPr>
                <w:rFonts w:hint="eastAsia" w:ascii="宋体" w:hAnsi="宋体" w:cs="宋体"/>
                <w:color w:val="000000"/>
                <w:kern w:val="0"/>
                <w:sz w:val="24"/>
                <w:u w:val="none"/>
                <w:lang w:val="en-US" w:eastAsia="zh-CN" w:bidi="ar"/>
              </w:rPr>
              <w:t>5</w:t>
            </w:r>
          </w:p>
        </w:tc>
        <w:tc>
          <w:tcPr>
            <w:tcW w:w="178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783"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5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r>
      <w:tr>
        <w:tblPrEx>
          <w:tblCellMar>
            <w:top w:w="0" w:type="dxa"/>
            <w:left w:w="108" w:type="dxa"/>
            <w:bottom w:w="0" w:type="dxa"/>
            <w:right w:w="108" w:type="dxa"/>
          </w:tblCellMar>
        </w:tblPrEx>
        <w:trPr>
          <w:trHeight w:val="748"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color w:val="000000"/>
                <w:kern w:val="0"/>
                <w:sz w:val="24"/>
                <w:u w:val="none"/>
                <w:lang w:bidi="ar"/>
              </w:rPr>
            </w:pPr>
            <w:r>
              <w:rPr>
                <w:rFonts w:hint="eastAsia" w:ascii="宋体" w:hAnsi="宋体" w:eastAsia="宋体" w:cs="宋体"/>
                <w:b/>
                <w:bCs/>
                <w:color w:val="000000"/>
                <w:kern w:val="0"/>
                <w:sz w:val="24"/>
                <w:u w:val="none"/>
                <w:lang w:bidi="ar"/>
              </w:rPr>
              <w:t>序号</w:t>
            </w:r>
          </w:p>
        </w:tc>
        <w:tc>
          <w:tcPr>
            <w:tcW w:w="8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cs="宋体"/>
                <w:color w:val="000000"/>
                <w:kern w:val="0"/>
                <w:sz w:val="24"/>
                <w:u w:val="none"/>
                <w:lang w:val="en-US" w:eastAsia="zh-CN" w:bidi="ar"/>
              </w:rPr>
            </w:pPr>
            <w:r>
              <w:rPr>
                <w:rFonts w:hint="eastAsia" w:ascii="宋体" w:hAnsi="宋体" w:eastAsia="宋体" w:cs="宋体"/>
                <w:b/>
                <w:bCs/>
                <w:color w:val="000000"/>
                <w:kern w:val="0"/>
                <w:sz w:val="24"/>
                <w:u w:val="none"/>
                <w:lang w:bidi="ar"/>
              </w:rPr>
              <w:t>评审指标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cs="宋体"/>
                <w:color w:val="000000"/>
                <w:kern w:val="0"/>
                <w:sz w:val="24"/>
                <w:u w:val="none"/>
                <w:lang w:bidi="ar"/>
              </w:rPr>
            </w:pPr>
            <w:r>
              <w:rPr>
                <w:rFonts w:hint="eastAsia" w:ascii="宋体" w:hAnsi="宋体" w:eastAsia="宋体" w:cs="宋体"/>
                <w:b/>
                <w:bCs/>
                <w:color w:val="000000"/>
                <w:kern w:val="0"/>
                <w:sz w:val="24"/>
                <w:u w:val="none"/>
                <w:lang w:bidi="ar"/>
              </w:rPr>
              <w:t>分值</w:t>
            </w:r>
          </w:p>
        </w:tc>
        <w:tc>
          <w:tcPr>
            <w:tcW w:w="178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default" w:ascii="宋体" w:hAnsi="宋体" w:eastAsia="宋体" w:cs="宋体"/>
                <w:b/>
                <w:bCs/>
                <w:color w:val="000000"/>
                <w:kern w:val="0"/>
                <w:sz w:val="24"/>
                <w:szCs w:val="24"/>
                <w:u w:val="none"/>
                <w:lang w:val="en-US" w:eastAsia="zh-CN" w:bidi="ar"/>
              </w:rPr>
            </w:pPr>
            <w:r>
              <w:rPr>
                <w:rFonts w:hint="eastAsia" w:ascii="宋体" w:hAnsi="宋体" w:cs="宋体"/>
                <w:b/>
                <w:bCs/>
                <w:color w:val="000000"/>
                <w:kern w:val="0"/>
                <w:sz w:val="24"/>
                <w:u w:val="none"/>
                <w:lang w:val="en-US" w:eastAsia="zh-CN" w:bidi="ar"/>
              </w:rPr>
              <w:t>单位A</w:t>
            </w:r>
          </w:p>
        </w:tc>
        <w:tc>
          <w:tcPr>
            <w:tcW w:w="1783"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default" w:ascii="宋体" w:hAnsi="宋体" w:eastAsia="宋体" w:cs="宋体"/>
                <w:b/>
                <w:bCs/>
                <w:color w:val="000000"/>
                <w:kern w:val="0"/>
                <w:sz w:val="24"/>
                <w:szCs w:val="24"/>
                <w:u w:val="none"/>
                <w:lang w:val="en-US" w:eastAsia="zh-CN" w:bidi="ar"/>
              </w:rPr>
            </w:pPr>
            <w:r>
              <w:rPr>
                <w:rFonts w:hint="eastAsia" w:ascii="宋体" w:hAnsi="宋体" w:cs="宋体"/>
                <w:b/>
                <w:bCs/>
                <w:color w:val="000000"/>
                <w:kern w:val="0"/>
                <w:sz w:val="24"/>
                <w:u w:val="none"/>
                <w:lang w:val="en-US" w:eastAsia="zh-CN" w:bidi="ar"/>
              </w:rPr>
              <w:t>单位B</w:t>
            </w:r>
          </w:p>
        </w:tc>
        <w:tc>
          <w:tcPr>
            <w:tcW w:w="15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default" w:ascii="宋体" w:hAnsi="宋体" w:eastAsia="宋体" w:cs="宋体"/>
                <w:b/>
                <w:bCs/>
                <w:color w:val="000000"/>
                <w:kern w:val="0"/>
                <w:sz w:val="24"/>
                <w:szCs w:val="24"/>
                <w:u w:val="none"/>
                <w:lang w:val="en-US" w:eastAsia="zh-CN" w:bidi="ar"/>
              </w:rPr>
            </w:pPr>
            <w:r>
              <w:rPr>
                <w:rFonts w:hint="eastAsia" w:ascii="宋体" w:hAnsi="宋体" w:cs="宋体"/>
                <w:b/>
                <w:bCs/>
                <w:color w:val="000000"/>
                <w:kern w:val="0"/>
                <w:sz w:val="24"/>
                <w:u w:val="none"/>
                <w:lang w:val="en-US" w:eastAsia="zh-CN" w:bidi="ar"/>
              </w:rPr>
              <w:t>单位C</w:t>
            </w:r>
          </w:p>
        </w:tc>
      </w:tr>
      <w:tr>
        <w:tblPrEx>
          <w:tblCellMar>
            <w:top w:w="0" w:type="dxa"/>
            <w:left w:w="108" w:type="dxa"/>
            <w:bottom w:w="0" w:type="dxa"/>
            <w:right w:w="108" w:type="dxa"/>
          </w:tblCellMar>
        </w:tblPrEx>
        <w:trPr>
          <w:trHeight w:val="3028"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5</w:t>
            </w:r>
          </w:p>
        </w:tc>
        <w:tc>
          <w:tcPr>
            <w:tcW w:w="8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000000"/>
                <w:kern w:val="0"/>
                <w:sz w:val="24"/>
                <w:u w:val="none"/>
                <w:lang w:bidi="ar"/>
              </w:rPr>
            </w:pPr>
            <w:r>
              <w:rPr>
                <w:rFonts w:hint="eastAsia" w:ascii="宋体" w:hAnsi="宋体" w:eastAsia="宋体" w:cs="宋体"/>
                <w:color w:val="000000"/>
                <w:kern w:val="0"/>
                <w:sz w:val="24"/>
                <w:u w:val="none"/>
                <w:lang w:bidi="ar"/>
              </w:rPr>
              <w:t>投入本项目的人员保障</w:t>
            </w:r>
          </w:p>
          <w:p>
            <w:pPr>
              <w:pStyle w:val="2"/>
              <w:keepNext w:val="0"/>
              <w:keepLines w:val="0"/>
              <w:pageBreakBefore w:val="0"/>
              <w:numPr>
                <w:ilvl w:val="0"/>
                <w:numId w:val="3"/>
              </w:numPr>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不按规定为所有项目人员购买“五险一金”，工资薪酬远低于中山市人力资源和社会保障局公布的上一年度该岗位平均薪酬水平的得0-5分；</w:t>
            </w:r>
          </w:p>
          <w:p>
            <w:pPr>
              <w:pStyle w:val="2"/>
              <w:keepNext w:val="0"/>
              <w:keepLines w:val="0"/>
              <w:pageBreakBefore w:val="0"/>
              <w:numPr>
                <w:ilvl w:val="0"/>
                <w:numId w:val="3"/>
              </w:numPr>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不按规定为所有项目人员购买“五险一金”，工资薪酬略低于中山市人力资源和社会保障局公布的上一年度该岗位平均薪酬水平的得5-9分；</w:t>
            </w:r>
          </w:p>
          <w:p>
            <w:pPr>
              <w:pStyle w:val="2"/>
              <w:keepNext w:val="0"/>
              <w:keepLines w:val="0"/>
              <w:pageBreakBefore w:val="0"/>
              <w:numPr>
                <w:ilvl w:val="0"/>
                <w:numId w:val="3"/>
              </w:numPr>
              <w:kinsoku/>
              <w:wordWrap/>
              <w:overflowPunct/>
              <w:topLinePunct w:val="0"/>
              <w:autoSpaceDE/>
              <w:autoSpaceDN/>
              <w:bidi w:val="0"/>
              <w:adjustRightInd/>
              <w:snapToGrid/>
              <w:spacing w:line="240" w:lineRule="auto"/>
              <w:rPr>
                <w:rFonts w:hint="eastAsia"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按规定为所有项目人员购买“五险一金”，工资薪酬略中山市人力资源和社会保障局公布的上一年度该岗位平均薪酬水平的得9-12分；</w:t>
            </w:r>
          </w:p>
          <w:p>
            <w:pPr>
              <w:pStyle w:val="2"/>
              <w:keepNext w:val="0"/>
              <w:keepLines w:val="0"/>
              <w:pageBreakBefore w:val="0"/>
              <w:numPr>
                <w:ilvl w:val="0"/>
                <w:numId w:val="3"/>
              </w:numPr>
              <w:kinsoku/>
              <w:wordWrap/>
              <w:overflowPunct/>
              <w:topLinePunct w:val="0"/>
              <w:autoSpaceDE/>
              <w:autoSpaceDN/>
              <w:bidi w:val="0"/>
              <w:adjustRightInd/>
              <w:snapToGrid/>
              <w:spacing w:line="240" w:lineRule="auto"/>
              <w:rPr>
                <w:rFonts w:hint="eastAsia" w:ascii="宋体" w:hAnsi="宋体" w:eastAsia="宋体" w:cs="宋体"/>
                <w:color w:val="000000"/>
                <w:kern w:val="0"/>
                <w:sz w:val="24"/>
                <w:u w:val="none"/>
                <w:lang w:bidi="ar"/>
              </w:rPr>
            </w:pPr>
            <w:r>
              <w:rPr>
                <w:rFonts w:hint="eastAsia" w:ascii="宋体" w:hAnsi="宋体" w:cs="宋体"/>
                <w:color w:val="000000"/>
                <w:kern w:val="0"/>
                <w:sz w:val="24"/>
                <w:u w:val="none"/>
                <w:lang w:val="en-US" w:eastAsia="zh-CN" w:bidi="ar"/>
              </w:rPr>
              <w:t>按规定为所有项目人员购买“五险一金”，工资薪酬不低于中山市人力资源和社会保障局公布的上一年度该岗位平均薪酬水平的得12-15分；</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eastAsia="宋体" w:cs="宋体"/>
                <w:color w:val="000000"/>
                <w:sz w:val="24"/>
                <w:u w:val="none"/>
                <w:lang w:val="en-US" w:eastAsia="zh-CN"/>
              </w:rPr>
            </w:pPr>
            <w:r>
              <w:rPr>
                <w:rFonts w:hint="eastAsia" w:ascii="宋体" w:hAnsi="宋体" w:cs="宋体"/>
                <w:color w:val="000000"/>
                <w:kern w:val="0"/>
                <w:sz w:val="24"/>
                <w:u w:val="none"/>
                <w:lang w:val="en-US" w:eastAsia="zh-CN" w:bidi="ar"/>
              </w:rPr>
              <w:t>15</w:t>
            </w:r>
          </w:p>
        </w:tc>
        <w:tc>
          <w:tcPr>
            <w:tcW w:w="178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783"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5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r>
      <w:tr>
        <w:tblPrEx>
          <w:tblCellMar>
            <w:top w:w="0" w:type="dxa"/>
            <w:left w:w="108" w:type="dxa"/>
            <w:bottom w:w="0" w:type="dxa"/>
            <w:right w:w="108" w:type="dxa"/>
          </w:tblCellMar>
        </w:tblPrEx>
        <w:trPr>
          <w:trHeight w:val="793"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6</w:t>
            </w:r>
          </w:p>
        </w:tc>
        <w:tc>
          <w:tcPr>
            <w:tcW w:w="8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sz w:val="24"/>
                <w:szCs w:val="24"/>
              </w:rPr>
            </w:pPr>
            <w:r>
              <w:rPr>
                <w:rFonts w:hint="eastAsia"/>
                <w:sz w:val="24"/>
                <w:szCs w:val="24"/>
              </w:rPr>
              <w:t>近</w:t>
            </w:r>
            <w:r>
              <w:rPr>
                <w:rFonts w:hint="eastAsia"/>
                <w:sz w:val="24"/>
                <w:szCs w:val="24"/>
                <w:lang w:val="en-US" w:eastAsia="zh-CN"/>
              </w:rPr>
              <w:t>两</w:t>
            </w:r>
            <w:r>
              <w:rPr>
                <w:rFonts w:hint="eastAsia"/>
                <w:sz w:val="24"/>
                <w:szCs w:val="24"/>
              </w:rPr>
              <w:t>年承接</w:t>
            </w:r>
            <w:r>
              <w:rPr>
                <w:rFonts w:hint="eastAsia"/>
                <w:sz w:val="24"/>
                <w:szCs w:val="24"/>
                <w:lang w:val="en-US" w:eastAsia="zh-CN"/>
              </w:rPr>
              <w:t>同类</w:t>
            </w:r>
            <w:r>
              <w:rPr>
                <w:rFonts w:hint="eastAsia"/>
                <w:sz w:val="24"/>
                <w:szCs w:val="24"/>
              </w:rPr>
              <w:t>项目的情况</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sz w:val="24"/>
                <w:szCs w:val="24"/>
                <w:lang w:val="en-US" w:eastAsia="zh-CN"/>
              </w:rPr>
            </w:pPr>
            <w:r>
              <w:rPr>
                <w:rFonts w:hint="eastAsia"/>
                <w:sz w:val="24"/>
                <w:szCs w:val="24"/>
                <w:lang w:val="en-US" w:eastAsia="zh-CN"/>
              </w:rPr>
              <w:t>投标人2020年1月至今成绩过政府服务类的项目业绩：每个项目2.5分，该项最高得分10分。</w:t>
            </w:r>
          </w:p>
          <w:p>
            <w:pPr>
              <w:pStyle w:val="2"/>
              <w:rPr>
                <w:rFonts w:hint="default"/>
                <w:lang w:val="en-US" w:eastAsia="zh-CN"/>
              </w:rPr>
            </w:pPr>
            <w:r>
              <w:rPr>
                <w:rFonts w:hint="eastAsia" w:ascii="宋体" w:hAnsi="宋体" w:cs="宋体"/>
                <w:color w:val="000000"/>
                <w:kern w:val="0"/>
                <w:sz w:val="21"/>
                <w:szCs w:val="21"/>
                <w:u w:val="single"/>
                <w:lang w:val="en-US" w:eastAsia="zh-CN" w:bidi="ar"/>
              </w:rPr>
              <w:t>备注：提供项目中标通知书或合同复印件加盖投标人红色公章，否则不得分。</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cs="宋体"/>
                <w:color w:val="000000"/>
                <w:kern w:val="0"/>
                <w:sz w:val="24"/>
                <w:u w:val="none"/>
                <w:lang w:val="en-US" w:eastAsia="zh-CN" w:bidi="ar"/>
              </w:rPr>
            </w:pPr>
            <w:r>
              <w:rPr>
                <w:rFonts w:hint="eastAsia" w:ascii="宋体" w:hAnsi="宋体" w:cs="宋体"/>
                <w:color w:val="000000"/>
                <w:kern w:val="0"/>
                <w:sz w:val="24"/>
                <w:u w:val="none"/>
                <w:lang w:val="en-US" w:eastAsia="zh-CN" w:bidi="ar"/>
              </w:rPr>
              <w:t>10</w:t>
            </w:r>
          </w:p>
        </w:tc>
        <w:tc>
          <w:tcPr>
            <w:tcW w:w="1784"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783"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c>
          <w:tcPr>
            <w:tcW w:w="1509"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eastAsia="宋体" w:cs="宋体"/>
                <w:color w:val="000000"/>
                <w:sz w:val="24"/>
                <w:u w:val="none"/>
              </w:rPr>
            </w:pPr>
          </w:p>
        </w:tc>
      </w:tr>
      <w:tr>
        <w:tblPrEx>
          <w:tblCellMar>
            <w:top w:w="0" w:type="dxa"/>
            <w:left w:w="108" w:type="dxa"/>
            <w:bottom w:w="0" w:type="dxa"/>
            <w:right w:w="108" w:type="dxa"/>
          </w:tblCellMar>
        </w:tblPrEx>
        <w:trPr>
          <w:trHeight w:val="539" w:hRule="atLeast"/>
          <w:jc w:val="center"/>
        </w:trPr>
        <w:tc>
          <w:tcPr>
            <w:tcW w:w="86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合计得分</w:t>
            </w: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宋体" w:hAnsi="宋体" w:eastAsia="宋体" w:cs="宋体"/>
                <w:color w:val="000000"/>
                <w:sz w:val="24"/>
                <w:u w:val="none"/>
              </w:rPr>
            </w:pPr>
            <w:r>
              <w:rPr>
                <w:rFonts w:hint="eastAsia" w:ascii="宋体" w:hAnsi="宋体" w:eastAsia="宋体" w:cs="宋体"/>
                <w:color w:val="000000"/>
                <w:kern w:val="0"/>
                <w:sz w:val="24"/>
                <w:u w:val="none"/>
                <w:lang w:bidi="ar"/>
              </w:rPr>
              <w:t>100</w:t>
            </w:r>
          </w:p>
        </w:tc>
        <w:tc>
          <w:tcPr>
            <w:tcW w:w="178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80" w:lineRule="exact"/>
              <w:jc w:val="center"/>
              <w:rPr>
                <w:rFonts w:ascii="宋体" w:hAnsi="宋体" w:eastAsia="宋体" w:cs="宋体"/>
                <w:color w:val="000000"/>
                <w:sz w:val="24"/>
                <w:u w:val="none"/>
              </w:rPr>
            </w:pPr>
          </w:p>
        </w:tc>
        <w:tc>
          <w:tcPr>
            <w:tcW w:w="1783"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80" w:lineRule="exact"/>
              <w:jc w:val="center"/>
              <w:rPr>
                <w:rFonts w:ascii="宋体" w:hAnsi="宋体" w:eastAsia="宋体" w:cs="宋体"/>
                <w:color w:val="000000"/>
                <w:sz w:val="24"/>
                <w:u w:val="none"/>
              </w:rPr>
            </w:pPr>
          </w:p>
        </w:tc>
        <w:tc>
          <w:tcPr>
            <w:tcW w:w="15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80" w:lineRule="exact"/>
              <w:jc w:val="center"/>
              <w:rPr>
                <w:rFonts w:ascii="宋体" w:hAnsi="宋体" w:eastAsia="宋体" w:cs="宋体"/>
                <w:color w:val="000000"/>
                <w:sz w:val="24"/>
                <w:u w:val="none"/>
              </w:rPr>
            </w:pPr>
          </w:p>
        </w:tc>
      </w:tr>
    </w:tbl>
    <w:p>
      <w:pPr>
        <w:keepNext w:val="0"/>
        <w:keepLines w:val="0"/>
        <w:pageBreakBefore w:val="0"/>
        <w:kinsoku/>
        <w:wordWrap/>
        <w:overflowPunct/>
        <w:topLinePunct w:val="0"/>
        <w:autoSpaceDE/>
        <w:autoSpaceDN/>
        <w:bidi w:val="0"/>
        <w:adjustRightInd/>
        <w:snapToGrid/>
        <w:spacing w:line="480" w:lineRule="exact"/>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　　</w:t>
      </w:r>
    </w:p>
    <w:p>
      <w:pPr>
        <w:keepNext w:val="0"/>
        <w:keepLines w:val="0"/>
        <w:pageBreakBefore w:val="0"/>
        <w:kinsoku/>
        <w:wordWrap/>
        <w:overflowPunct/>
        <w:topLinePunct w:val="0"/>
        <w:autoSpaceDE/>
        <w:autoSpaceDN/>
        <w:bidi w:val="0"/>
        <w:adjustRightInd/>
        <w:snapToGrid/>
        <w:spacing w:line="480" w:lineRule="exact"/>
        <w:ind w:firstLine="640" w:firstLineChars="200"/>
        <w:rPr>
          <w:rFonts w:hint="default" w:ascii="仿宋_GB2312" w:hAnsi="仿宋_GB2312" w:eastAsia="仿宋_GB2312" w:cs="仿宋_GB2312"/>
          <w:b w:val="0"/>
          <w:bCs w:val="0"/>
          <w:color w:val="auto"/>
          <w:sz w:val="32"/>
          <w:szCs w:val="32"/>
          <w:highlight w:val="none"/>
          <w:u w:val="none"/>
          <w:lang w:val="en-US" w:eastAsia="zh-CN"/>
        </w:rPr>
      </w:pPr>
      <w:r>
        <w:rPr>
          <w:rFonts w:ascii="Times New Roman" w:hAnsi="Times New Roman" w:eastAsia="仿宋_GB2312" w:cs="Times New Roman"/>
          <w:sz w:val="32"/>
          <w:szCs w:val="32"/>
          <w:u w:val="none"/>
        </w:rPr>
        <w:t>评审人签名：</w:t>
      </w:r>
      <w:r>
        <w:rPr>
          <w:rFonts w:hint="eastAsia" w:ascii="Times New Roman" w:hAnsi="Times New Roman" w:eastAsia="仿宋_GB2312" w:cs="Times New Roman"/>
          <w:sz w:val="32"/>
          <w:szCs w:val="32"/>
          <w:u w:val="none"/>
        </w:rPr>
        <w:t>　　　　　　　　　　　　　　　　　　　　　　</w:t>
      </w:r>
      <w:r>
        <w:rPr>
          <w:rFonts w:ascii="Times New Roman" w:hAnsi="Times New Roman" w:eastAsia="仿宋_GB2312" w:cs="Times New Roman"/>
          <w:sz w:val="32"/>
          <w:szCs w:val="32"/>
          <w:u w:val="none"/>
        </w:rPr>
        <w:t>日期：     年   月   日</w:t>
      </w:r>
    </w:p>
    <w:p/>
    <w:p>
      <w:pPr>
        <w:keepNext w:val="0"/>
        <w:keepLines w:val="0"/>
        <w:pageBreakBefore w:val="0"/>
        <w:kinsoku/>
        <w:wordWrap/>
        <w:overflowPunct/>
        <w:topLinePunct w:val="0"/>
        <w:autoSpaceDE/>
        <w:autoSpaceDN/>
        <w:bidi w:val="0"/>
        <w:adjustRightInd/>
        <w:snapToGrid/>
        <w:spacing w:line="480" w:lineRule="exact"/>
        <w:ind w:firstLine="640" w:firstLineChars="200"/>
        <w:rPr>
          <w:rFonts w:hint="default" w:ascii="仿宋_GB2312" w:hAnsi="仿宋_GB2312" w:eastAsia="仿宋_GB2312" w:cs="仿宋_GB2312"/>
          <w:b w:val="0"/>
          <w:bCs w:val="0"/>
          <w:color w:val="auto"/>
          <w:sz w:val="32"/>
          <w:szCs w:val="32"/>
          <w:highlight w:val="none"/>
          <w:u w:val="none"/>
          <w:lang w:val="en-US" w:eastAsia="zh-CN"/>
        </w:rPr>
      </w:pPr>
    </w:p>
    <w:p/>
    <w:sectPr>
      <w:pgSz w:w="16838" w:h="11906" w:orient="landscape"/>
      <w:pgMar w:top="720" w:right="720" w:bottom="720" w:left="72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FDF7F"/>
    <w:multiLevelType w:val="singleLevel"/>
    <w:tmpl w:val="BFFFDF7F"/>
    <w:lvl w:ilvl="0" w:tentative="0">
      <w:start w:val="1"/>
      <w:numFmt w:val="decimal"/>
      <w:suff w:val="nothing"/>
      <w:lvlText w:val="%1）"/>
      <w:lvlJc w:val="left"/>
    </w:lvl>
  </w:abstractNum>
  <w:abstractNum w:abstractNumId="1">
    <w:nsid w:val="E21EA6CC"/>
    <w:multiLevelType w:val="singleLevel"/>
    <w:tmpl w:val="E21EA6CC"/>
    <w:lvl w:ilvl="0" w:tentative="0">
      <w:start w:val="1"/>
      <w:numFmt w:val="decimal"/>
      <w:suff w:val="nothing"/>
      <w:lvlText w:val="%1）"/>
      <w:lvlJc w:val="left"/>
    </w:lvl>
  </w:abstractNum>
  <w:abstractNum w:abstractNumId="2">
    <w:nsid w:val="56526FE9"/>
    <w:multiLevelType w:val="singleLevel"/>
    <w:tmpl w:val="56526FE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F4794"/>
    <w:rsid w:val="23112E7E"/>
    <w:rsid w:val="746F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中山市民政局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2023-03-14T03:23:00Z</dcterms:created>
  <dc:creator>Administrator</dc:creator>
  <cp:lastModifiedBy>Administrator</cp:lastModifiedBy>
  <dcterms:modified xsi:type="dcterms:W3CDTF">2023-03-14T03:23:44Z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F36F7AF1AC90457B8F28D700E5FF967C</vt:lpwstr>
  </property>
</Properties>
</file>