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hint="eastAsia" w:ascii="黑体" w:hAnsi="黑体" w:eastAsia="黑体" w:cs="黑体"/>
          <w:bCs/>
          <w:kern w:val="2"/>
          <w:szCs w:val="32"/>
        </w:rPr>
      </w:pPr>
      <w:r>
        <w:rPr>
          <w:rFonts w:hint="eastAsia" w:ascii="黑体" w:hAnsi="黑体" w:eastAsia="黑体" w:cs="黑体"/>
          <w:bCs/>
          <w:kern w:val="2"/>
          <w:szCs w:val="32"/>
        </w:rPr>
        <w:t>附件</w:t>
      </w:r>
    </w:p>
    <w:p>
      <w:pPr>
        <w:spacing w:line="574" w:lineRule="exact"/>
        <w:ind w:firstLine="904" w:firstLineChars="200"/>
        <w:outlineLvl w:val="0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</w:p>
    <w:p>
      <w:pPr>
        <w:spacing w:line="574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  <w:t>2023第七届中国(墨西哥)贸易博览会简介</w:t>
      </w:r>
    </w:p>
    <w:p>
      <w:pPr>
        <w:spacing w:line="574" w:lineRule="exact"/>
        <w:outlineLvl w:val="0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</w:p>
    <w:p>
      <w:pPr>
        <w:spacing w:line="574" w:lineRule="exact"/>
        <w:ind w:firstLine="664" w:firstLineChars="200"/>
        <w:outlineLvl w:val="0"/>
        <w:rPr>
          <w:rFonts w:ascii="仿宋_GB2312" w:hAnsi="仿宋_GB2312" w:eastAsia="黑体" w:cs="仿宋_GB2312"/>
          <w:bCs/>
          <w:kern w:val="44"/>
          <w:szCs w:val="44"/>
        </w:rPr>
      </w:pPr>
      <w:r>
        <w:rPr>
          <w:rFonts w:hint="eastAsia" w:ascii="仿宋_GB2312" w:hAnsi="仿宋_GB2312" w:eastAsia="黑体" w:cs="仿宋_GB2312"/>
          <w:bCs/>
          <w:kern w:val="44"/>
          <w:szCs w:val="44"/>
        </w:rPr>
        <w:t>一、展会概况</w:t>
      </w:r>
    </w:p>
    <w:p>
      <w:pPr>
        <w:overflowPunct/>
        <w:autoSpaceDE/>
        <w:autoSpaceDN/>
        <w:adjustRightInd/>
        <w:snapToGrid/>
        <w:spacing w:line="574" w:lineRule="exact"/>
        <w:ind w:firstLine="640" w:firstLineChars="200"/>
        <w:rPr>
          <w:rFonts w:ascii="仿宋_GB2312" w:hAnsi="仿宋_GB2312" w:cs="仿宋_GB2312"/>
          <w:snapToGrid/>
          <w:spacing w:val="0"/>
          <w:kern w:val="2"/>
          <w:szCs w:val="32"/>
        </w:rPr>
      </w:pPr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>名称: 2023第七届中国(墨西哥)贸易博览会</w:t>
      </w:r>
    </w:p>
    <w:p>
      <w:pPr>
        <w:overflowPunct/>
        <w:autoSpaceDE/>
        <w:autoSpaceDN/>
        <w:adjustRightInd/>
        <w:snapToGrid/>
        <w:spacing w:line="574" w:lineRule="exact"/>
        <w:ind w:firstLine="640" w:firstLineChars="200"/>
        <w:rPr>
          <w:rFonts w:ascii="仿宋_GB2312" w:hAnsi="仿宋_GB2312" w:cs="仿宋_GB2312"/>
          <w:snapToGrid/>
          <w:spacing w:val="0"/>
          <w:kern w:val="2"/>
          <w:szCs w:val="32"/>
        </w:rPr>
      </w:pPr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 xml:space="preserve">时间: </w:t>
      </w:r>
      <w:bookmarkStart w:id="0" w:name="_Toc570"/>
      <w:bookmarkStart w:id="1" w:name="_Toc3355"/>
      <w:bookmarkStart w:id="2" w:name="_Toc24279"/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>2023年6月27日-6月29日</w:t>
      </w:r>
      <w:bookmarkEnd w:id="0"/>
      <w:bookmarkEnd w:id="1"/>
      <w:bookmarkEnd w:id="2"/>
    </w:p>
    <w:p>
      <w:pPr>
        <w:overflowPunct/>
        <w:autoSpaceDE/>
        <w:autoSpaceDN/>
        <w:adjustRightInd/>
        <w:snapToGrid/>
        <w:spacing w:line="574" w:lineRule="exact"/>
        <w:ind w:firstLine="640" w:firstLineChars="200"/>
        <w:rPr>
          <w:rFonts w:ascii="仿宋_GB2312" w:hAnsi="仿宋_GB2312" w:cs="仿宋_GB2312"/>
          <w:snapToGrid/>
          <w:spacing w:val="0"/>
          <w:kern w:val="2"/>
          <w:szCs w:val="32"/>
        </w:rPr>
      </w:pPr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 xml:space="preserve">地点: </w:t>
      </w:r>
      <w:bookmarkStart w:id="3" w:name="_Toc25341"/>
      <w:bookmarkStart w:id="4" w:name="_Toc32307"/>
      <w:bookmarkStart w:id="5" w:name="_Toc9810"/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>墨西哥城圣达菲会展中心（Expo Santa Fe）</w:t>
      </w:r>
      <w:bookmarkEnd w:id="3"/>
      <w:bookmarkEnd w:id="4"/>
      <w:bookmarkEnd w:id="5"/>
    </w:p>
    <w:p>
      <w:pPr>
        <w:overflowPunct/>
        <w:autoSpaceDE/>
        <w:autoSpaceDN/>
        <w:adjustRightInd/>
        <w:snapToGrid/>
        <w:spacing w:line="574" w:lineRule="exact"/>
        <w:ind w:firstLine="640" w:firstLineChars="200"/>
        <w:rPr>
          <w:rFonts w:ascii="仿宋_GB2312" w:hAnsi="仿宋_GB2312" w:cs="仿宋_GB2312"/>
          <w:snapToGrid/>
          <w:spacing w:val="19"/>
          <w:kern w:val="2"/>
          <w:szCs w:val="32"/>
        </w:rPr>
      </w:pPr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>展览单位: 米奥兰特（广东）商务科技有限公司</w:t>
      </w:r>
    </w:p>
    <w:p>
      <w:pPr>
        <w:spacing w:line="574" w:lineRule="exact"/>
        <w:ind w:firstLine="664" w:firstLineChars="200"/>
        <w:outlineLvl w:val="0"/>
        <w:rPr>
          <w:rFonts w:ascii="仿宋_GB2312" w:hAnsi="仿宋_GB2312" w:eastAsia="黑体" w:cs="仿宋_GB2312"/>
          <w:bCs/>
          <w:kern w:val="44"/>
          <w:szCs w:val="44"/>
        </w:rPr>
      </w:pPr>
      <w:r>
        <w:rPr>
          <w:rFonts w:hint="eastAsia" w:ascii="仿宋_GB2312" w:hAnsi="仿宋_GB2312" w:eastAsia="黑体" w:cs="仿宋_GB2312"/>
          <w:bCs/>
          <w:kern w:val="44"/>
          <w:szCs w:val="44"/>
        </w:rPr>
        <w:t>二、展品范围</w:t>
      </w:r>
    </w:p>
    <w:p>
      <w:pPr>
        <w:overflowPunct/>
        <w:autoSpaceDE/>
        <w:autoSpaceDN/>
        <w:adjustRightInd/>
        <w:snapToGrid/>
        <w:spacing w:line="574" w:lineRule="exact"/>
        <w:ind w:firstLine="640" w:firstLineChars="200"/>
        <w:rPr>
          <w:rFonts w:ascii="仿宋_GB2312" w:hAnsi="仿宋_GB2312" w:cs="仿宋_GB2312"/>
          <w:snapToGrid/>
          <w:spacing w:val="0"/>
          <w:kern w:val="2"/>
          <w:szCs w:val="32"/>
        </w:rPr>
      </w:pPr>
      <w:r>
        <w:rPr>
          <w:rFonts w:hint="eastAsia" w:ascii="仿宋_GB2312" w:hAnsi="仿宋_GB2312" w:cs="仿宋_GB2312"/>
          <w:snapToGrid/>
          <w:spacing w:val="0"/>
          <w:kern w:val="2"/>
          <w:szCs w:val="32"/>
        </w:rPr>
        <w:t>家用电器、照明灯饰、消费电子、家具家装、建材五金及配件、家居用品、纺织服饰箱包鞋、美容及个护用品等。</w:t>
      </w:r>
    </w:p>
    <w:p>
      <w:pPr>
        <w:spacing w:line="574" w:lineRule="exact"/>
        <w:ind w:firstLine="664" w:firstLineChars="200"/>
        <w:outlineLvl w:val="0"/>
        <w:rPr>
          <w:rFonts w:ascii="仿宋_GB2312" w:hAnsi="仿宋_GB2312" w:eastAsia="黑体" w:cs="仿宋_GB2312"/>
          <w:bCs/>
          <w:kern w:val="44"/>
          <w:szCs w:val="44"/>
        </w:rPr>
      </w:pPr>
      <w:r>
        <w:rPr>
          <w:rFonts w:hint="eastAsia" w:ascii="仿宋_GB2312" w:hAnsi="仿宋_GB2312" w:eastAsia="黑体" w:cs="仿宋_GB2312"/>
          <w:bCs/>
          <w:kern w:val="44"/>
          <w:szCs w:val="44"/>
        </w:rPr>
        <w:t>三、市场及展会介绍</w:t>
      </w:r>
    </w:p>
    <w:p>
      <w:pPr>
        <w:overflowPunct/>
        <w:autoSpaceDE/>
        <w:autoSpaceDN/>
        <w:adjustRightInd/>
        <w:snapToGrid/>
        <w:spacing w:line="574" w:lineRule="exact"/>
        <w:ind w:firstLine="640" w:firstLineChars="200"/>
        <w:rPr>
          <w:rFonts w:ascii="仿宋_GB2312" w:hAnsi="仿宋_GB2312" w:cs="仿宋_GB2312"/>
          <w:snapToGrid/>
          <w:spacing w:val="0"/>
          <w:kern w:val="2"/>
          <w:szCs w:val="32"/>
        </w:rPr>
      </w:pPr>
      <w:r>
        <w:rPr>
          <w:rFonts w:hint="eastAsia" w:ascii="仿宋_GB2312" w:hAnsi="仿宋_GB2312" w:cs="仿宋_GB2312"/>
          <w:spacing w:val="0"/>
          <w:kern w:val="2"/>
          <w:szCs w:val="32"/>
        </w:rPr>
        <w:t>墨西哥辐射危地马拉、伯利兹、洪都拉斯、牙买加、哥斯达黎加、萨瓦多尔、海底、巴拿马、委内瑞拉和哥伦比亚等多个国家，是拉美第</w:t>
      </w:r>
      <w:r>
        <w:rPr>
          <w:rFonts w:ascii="仿宋_GB2312" w:hAnsi="仿宋_GB2312" w:cs="仿宋_GB2312"/>
          <w:spacing w:val="0"/>
          <w:kern w:val="2"/>
          <w:szCs w:val="32"/>
        </w:rPr>
        <w:t>2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大经济体，全球第</w:t>
      </w:r>
      <w:r>
        <w:rPr>
          <w:rFonts w:ascii="仿宋_GB2312" w:hAnsi="仿宋_GB2312" w:cs="仿宋_GB2312"/>
          <w:spacing w:val="0"/>
          <w:kern w:val="2"/>
          <w:szCs w:val="32"/>
        </w:rPr>
        <w:t>12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大进口国，是仅次于巴西的拉美第二大经济体。墨西哥是进入北美一体化体系的窗口，已成为拉美地区平均关税最低的国家之一。墨西哥以其独有的区位优势、资源优势、市场优势和投资环境优势，成为外国投资重点关注的拉美国家之一。</w:t>
      </w:r>
      <w:r>
        <w:rPr>
          <w:rFonts w:ascii="仿宋_GB2312" w:hAnsi="仿宋_GB2312" w:cs="仿宋_GB2312"/>
          <w:spacing w:val="0"/>
          <w:kern w:val="2"/>
          <w:szCs w:val="32"/>
        </w:rPr>
        <w:t>2013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年</w:t>
      </w:r>
      <w:r>
        <w:rPr>
          <w:rFonts w:ascii="仿宋_GB2312" w:hAnsi="仿宋_GB2312" w:cs="仿宋_GB2312"/>
          <w:spacing w:val="0"/>
          <w:kern w:val="2"/>
          <w:szCs w:val="32"/>
        </w:rPr>
        <w:t>6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月中国和墨西哥将两国关系提升至全面战略伙伴，中国是墨西哥第二大贸易伙伴，两国贸易规模保持稳健增长势头。</w:t>
      </w:r>
    </w:p>
    <w:p>
      <w:r>
        <w:rPr>
          <w:rFonts w:hint="eastAsia" w:ascii="仿宋_GB2312" w:hAnsi="仿宋_GB2312" w:cs="仿宋_GB2312"/>
          <w:spacing w:val="0"/>
          <w:kern w:val="2"/>
          <w:szCs w:val="32"/>
        </w:rPr>
        <w:t>中国（墨西哥）贸易博览会已成功举办了六</w:t>
      </w:r>
      <w:r>
        <w:rPr>
          <w:rFonts w:ascii="仿宋_GB2312" w:hAnsi="仿宋_GB2312" w:cs="仿宋_GB2312"/>
          <w:spacing w:val="0"/>
          <w:kern w:val="2"/>
          <w:szCs w:val="32"/>
        </w:rPr>
        <w:t>届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，</w:t>
      </w:r>
      <w:r>
        <w:rPr>
          <w:rFonts w:ascii="仿宋_GB2312" w:hAnsi="仿宋_GB2312" w:cs="仿宋_GB2312"/>
          <w:spacing w:val="0"/>
          <w:kern w:val="2"/>
          <w:szCs w:val="32"/>
        </w:rPr>
        <w:t>获得国际展览联盟UFI认证。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2019年该展会总规模为26000平方米，共计1325个展位，675家企业参展，吸引了23289名来自墨西哥当地及美国、哥伦比亚、巴拿马、哥斯达黎加、危地马拉、洪都拉斯等十几个国家和地区的专业观众。该展会是中国在中北美洲举办的最专业规模最大的自办展，已成为中国开拓该市场的重要平台。受全球新冠疫情影响，2021年底始主办方米奥兰特独创网展贸META双线双展模式，即“境内线上对口谈，境外线下商品展”的形式对该展恢复举办。在2021年成功举办的基础上，2022年主办方对展会进行了升级，开设夏、冬两届。上一届展会已2</w:t>
      </w:r>
      <w:r>
        <w:rPr>
          <w:rFonts w:ascii="仿宋_GB2312" w:hAnsi="仿宋_GB2312" w:cs="仿宋_GB2312"/>
          <w:spacing w:val="0"/>
          <w:kern w:val="2"/>
          <w:szCs w:val="32"/>
        </w:rPr>
        <w:t>0</w:t>
      </w:r>
      <w:r>
        <w:rPr>
          <w:rFonts w:hint="eastAsia" w:ascii="仿宋_GB2312" w:hAnsi="仿宋_GB2312" w:cs="仿宋_GB2312"/>
          <w:spacing w:val="0"/>
          <w:kern w:val="2"/>
          <w:szCs w:val="32"/>
        </w:rPr>
        <w:t>22年在11月成功举办，现场共有650家参展企业，吸引了12526名采购商到场，成功实现10478场境内外连线商洽会议，收集名片15420张。现场累计意向采购金额7092万美元，企业参展满意度高达93%。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jQwZDRiNWJhZWRhOTZmOGQwYzA2NmY1OTkzOGEifQ=="/>
  </w:docVars>
  <w:rsids>
    <w:rsidRoot w:val="19D83465"/>
    <w:rsid w:val="19D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2023-03-30T13:12:00Z</dcterms:created>
  <dc:creator>z</dc:creator>
  <cp:lastModifiedBy>z</cp:lastModifiedBy>
  <dcterms:modified xsi:type="dcterms:W3CDTF">2023-03-30T13:12:39Z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0361E219D3514E31B77161350EBA56C5_11</vt:lpwstr>
  </property>
</Properties>
</file>