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val="en-US" w:eastAsia="zh-CN"/>
        </w:rPr>
        <w:t>附件2</w:t>
      </w: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中山市民政局项目采购评审表（服务类）</w:t>
      </w:r>
    </w:p>
    <w:bookmarkEnd w:id="0"/>
    <w:p>
      <w:pPr>
        <w:ind w:left="0" w:leftChars="0" w:firstLine="0" w:firstLineChars="0"/>
        <w:jc w:val="center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>项目名称：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2023年民政专项资金督查项目</w:t>
      </w:r>
    </w:p>
    <w:tbl>
      <w:tblPr>
        <w:tblStyle w:val="3"/>
        <w:tblW w:w="1329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0"/>
        <w:gridCol w:w="7669"/>
        <w:gridCol w:w="1215"/>
        <w:gridCol w:w="5"/>
        <w:gridCol w:w="1255"/>
        <w:gridCol w:w="1200"/>
        <w:gridCol w:w="120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7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bidi="ar"/>
              </w:rPr>
              <w:t>评审指标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bidi="ar"/>
              </w:rPr>
              <w:t>分值</w:t>
            </w:r>
          </w:p>
        </w:tc>
        <w:tc>
          <w:tcPr>
            <w:tcW w:w="1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（单位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）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（单位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2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12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（单位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1</w:t>
            </w:r>
          </w:p>
        </w:tc>
        <w:tc>
          <w:tcPr>
            <w:tcW w:w="7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bidi="ar"/>
              </w:rPr>
              <w:t>服务方案</w:t>
            </w:r>
          </w:p>
          <w:p>
            <w:pPr>
              <w:pStyle w:val="2"/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①服务方案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与民政资金督查服务需求不够贴合，整体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不够完整、不够合理，措施基本可行的得</w:t>
            </w:r>
            <w: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  <w:t>0-1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0分；</w:t>
            </w:r>
          </w:p>
          <w:p>
            <w:pPr>
              <w:pStyle w:val="2"/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②服务方案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与民政资金督查服务需求较为贴合，整体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较为完整、较为合理，措施较为具体、可行的得</w:t>
            </w:r>
            <w: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</w:t>
            </w:r>
            <w: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  <w:t>-20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分；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③服务方案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与民政资金督查服务需求贴合，整体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非常完整、非常合理，措施非常具体、可行性高的得</w:t>
            </w:r>
            <w: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0</w:t>
            </w:r>
            <w: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25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分。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25</w:t>
            </w:r>
          </w:p>
        </w:tc>
        <w:tc>
          <w:tcPr>
            <w:tcW w:w="1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2</w:t>
            </w:r>
          </w:p>
        </w:tc>
        <w:tc>
          <w:tcPr>
            <w:tcW w:w="7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bidi="ar"/>
              </w:rPr>
              <w:t>工作安排及进度管理</w:t>
            </w:r>
          </w:p>
          <w:p>
            <w:pPr>
              <w:pStyle w:val="2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①工作安排计划不清晰、节点模糊，承诺于服务期限内提交工作成果的得0</w:t>
            </w:r>
            <w: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10分；</w:t>
            </w:r>
          </w:p>
          <w:p>
            <w:pPr>
              <w:pStyle w:val="2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②工作安排计划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较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清晰、节点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较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明确，承诺于服务期限内提交工作成果的得10</w:t>
            </w:r>
            <w: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20分；</w:t>
            </w:r>
          </w:p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③工作安排计划清晰、节点明确，保障措施有力，承诺于服务期限内提交工作成果的得20</w:t>
            </w:r>
            <w:r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  <w:t>-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25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分。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  <w:t>25</w:t>
            </w:r>
          </w:p>
        </w:tc>
        <w:tc>
          <w:tcPr>
            <w:tcW w:w="1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3</w:t>
            </w:r>
          </w:p>
        </w:tc>
        <w:tc>
          <w:tcPr>
            <w:tcW w:w="7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业绩情况</w:t>
            </w:r>
          </w:p>
          <w:p>
            <w:pPr>
              <w:widowControl/>
              <w:jc w:val="left"/>
              <w:textAlignment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1、</w:t>
            </w:r>
            <w:r>
              <w:rPr>
                <w:rFonts w:ascii="宋体" w:hAnsi="宋体"/>
                <w:sz w:val="24"/>
              </w:rPr>
              <w:t>20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19</w:t>
            </w:r>
            <w:r>
              <w:rPr>
                <w:rFonts w:hint="eastAsia" w:ascii="宋体" w:hAnsi="宋体"/>
                <w:sz w:val="24"/>
              </w:rPr>
              <w:t>年</w:t>
            </w:r>
            <w:r>
              <w:rPr>
                <w:rFonts w:ascii="宋体" w:hAnsi="宋体"/>
                <w:sz w:val="24"/>
              </w:rPr>
              <w:t>1</w:t>
            </w:r>
            <w:r>
              <w:rPr>
                <w:rFonts w:hint="eastAsia" w:ascii="宋体" w:hAnsi="宋体"/>
                <w:sz w:val="24"/>
              </w:rPr>
              <w:t>月至今承接过（已完成）</w:t>
            </w:r>
            <w:r>
              <w:rPr>
                <w:rFonts w:hint="eastAsia" w:ascii="宋体" w:hAnsi="宋体"/>
                <w:sz w:val="24"/>
                <w:lang w:eastAsia="zh-CN"/>
              </w:rPr>
              <w:t>民政类</w:t>
            </w:r>
            <w:r>
              <w:rPr>
                <w:rFonts w:hint="eastAsia" w:ascii="宋体" w:hAnsi="宋体"/>
                <w:sz w:val="24"/>
              </w:rPr>
              <w:t>项目：每1个项目计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4</w:t>
            </w:r>
            <w:r>
              <w:rPr>
                <w:rFonts w:hint="eastAsia" w:ascii="宋体" w:hAnsi="宋体"/>
                <w:sz w:val="24"/>
              </w:rPr>
              <w:t>分，最高得分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20</w:t>
            </w:r>
            <w:r>
              <w:rPr>
                <w:rFonts w:hint="eastAsia" w:ascii="宋体" w:hAnsi="宋体"/>
                <w:sz w:val="24"/>
              </w:rPr>
              <w:t>分</w:t>
            </w:r>
            <w:r>
              <w:rPr>
                <w:rFonts w:hint="eastAsia" w:ascii="宋体" w:hAnsi="宋体"/>
                <w:sz w:val="24"/>
                <w:lang w:eastAsia="zh-CN"/>
              </w:rPr>
              <w:t>；</w:t>
            </w:r>
          </w:p>
          <w:p>
            <w:pPr>
              <w:widowControl/>
              <w:jc w:val="left"/>
              <w:textAlignment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2、提交业绩项目</w:t>
            </w:r>
            <w:r>
              <w:rPr>
                <w:rFonts w:hint="eastAsia" w:ascii="宋体" w:hAnsi="宋体"/>
                <w:sz w:val="24"/>
                <w:lang w:eastAsia="zh-CN"/>
              </w:rPr>
              <w:t>涉及政府资金核查类项目，每个加分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2.5分，最高加分不超过5分。</w:t>
            </w:r>
          </w:p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25</w:t>
            </w:r>
          </w:p>
        </w:tc>
        <w:tc>
          <w:tcPr>
            <w:tcW w:w="1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  <w:jc w:val="center"/>
        </w:trPr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4</w:t>
            </w:r>
          </w:p>
        </w:tc>
        <w:tc>
          <w:tcPr>
            <w:tcW w:w="7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cs="Times New Roman"/>
                <w:b/>
                <w:bCs/>
                <w:color w:val="auto"/>
                <w:kern w:val="1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auto"/>
                <w:kern w:val="1"/>
                <w:sz w:val="24"/>
                <w:szCs w:val="24"/>
                <w:vertAlign w:val="baseline"/>
                <w:lang w:val="en-US" w:eastAsia="zh-CN" w:bidi="ar-SA"/>
              </w:rPr>
              <w:t>人员投入：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cs="Times New Roman"/>
                <w:color w:val="auto"/>
                <w:kern w:val="1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1"/>
                <w:sz w:val="24"/>
                <w:szCs w:val="24"/>
                <w:vertAlign w:val="baseline"/>
                <w:lang w:val="en-US" w:eastAsia="zh-CN" w:bidi="ar-SA"/>
              </w:rPr>
              <w:t>本项目在全市23个镇街划分7个工作小组，人员投入至少7个中级社工，14个财务人员，14个普通工作人员，得15分，否则不得分。</w:t>
            </w:r>
          </w:p>
          <w:p>
            <w:pPr>
              <w:widowControl/>
              <w:jc w:val="left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bidi="ar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15</w:t>
            </w:r>
          </w:p>
        </w:tc>
        <w:tc>
          <w:tcPr>
            <w:tcW w:w="1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  <w:jc w:val="center"/>
        </w:trPr>
        <w:tc>
          <w:tcPr>
            <w:tcW w:w="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5</w:t>
            </w:r>
          </w:p>
        </w:tc>
        <w:tc>
          <w:tcPr>
            <w:tcW w:w="76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1"/>
                <w:sz w:val="24"/>
                <w:szCs w:val="24"/>
                <w:vertAlign w:val="baseline"/>
                <w:lang w:val="en-US" w:eastAsia="zh-CN" w:bidi="ar-SA"/>
              </w:rPr>
              <w:t>报价情况（</w:t>
            </w:r>
            <w:r>
              <w:rPr>
                <w:rFonts w:hint="eastAsia" w:ascii="Times New Roman" w:hAnsi="Times New Roman" w:cs="Times New Roman"/>
                <w:color w:val="auto"/>
                <w:kern w:val="1"/>
                <w:sz w:val="24"/>
                <w:szCs w:val="24"/>
                <w:vertAlign w:val="baseline"/>
                <w:lang w:val="en-US" w:eastAsia="zh-CN" w:bidi="ar-SA"/>
              </w:rPr>
              <w:t>10分，</w:t>
            </w:r>
            <w:r>
              <w:rPr>
                <w:rFonts w:hint="eastAsia" w:ascii="Times New Roman" w:hAnsi="Times New Roman" w:eastAsia="宋体" w:cs="Times New Roman"/>
                <w:color w:val="auto"/>
                <w:kern w:val="1"/>
                <w:sz w:val="24"/>
                <w:szCs w:val="24"/>
                <w:vertAlign w:val="baseline"/>
                <w:lang w:val="en-US" w:eastAsia="zh-CN" w:bidi="ar-SA"/>
              </w:rPr>
              <w:t>采用低价优先法计算）</w:t>
            </w:r>
          </w:p>
        </w:tc>
        <w:tc>
          <w:tcPr>
            <w:tcW w:w="12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10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</w:p>
        </w:tc>
        <w:tc>
          <w:tcPr>
            <w:tcW w:w="12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84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合计得分</w:t>
            </w:r>
          </w:p>
        </w:tc>
        <w:tc>
          <w:tcPr>
            <w:tcW w:w="12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lang w:val="en-US" w:eastAsia="zh-CN"/>
              </w:rPr>
              <w:t>100</w:t>
            </w:r>
          </w:p>
        </w:tc>
        <w:tc>
          <w:tcPr>
            <w:tcW w:w="12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</w:tbl>
    <w:p>
      <w:pPr>
        <w:spacing w:line="600" w:lineRule="exact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　　</w:t>
      </w:r>
      <w:r>
        <w:rPr>
          <w:rFonts w:ascii="Times New Roman" w:hAnsi="Times New Roman" w:eastAsia="仿宋_GB2312" w:cs="Times New Roman"/>
          <w:sz w:val="32"/>
          <w:szCs w:val="32"/>
        </w:rPr>
        <w:t>评审人签名：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　　　　　　　　　　　　　　　　　　　　　　</w:t>
      </w:r>
      <w:r>
        <w:rPr>
          <w:rFonts w:ascii="Times New Roman" w:hAnsi="Times New Roman" w:eastAsia="仿宋_GB2312" w:cs="Times New Roman"/>
          <w:sz w:val="32"/>
          <w:szCs w:val="32"/>
        </w:rPr>
        <w:t>日期：     年   月   日</w:t>
      </w:r>
    </w:p>
    <w:p>
      <w:pPr>
        <w:pStyle w:val="2"/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CA7BEE"/>
    <w:rsid w:val="11CA7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sz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中山市民政局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2023-06-30T09:26:00Z</dcterms:created>
  <dc:creator>冯绮婷</dc:creator>
  <cp:lastModifiedBy>冯绮婷</cp:lastModifiedBy>
  <dcterms:modified xsi:type="dcterms:W3CDTF">2023-06-30T09:27:10Z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5989B128ED314ABAAAFF38AF1BC78EC6</vt:lpwstr>
  </property>
</Properties>
</file>