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2023年东凤镇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灯光夜市步行街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动摊位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招商公告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为挖掘夜间消费动能，升级夜间消费场景，形成“</w:t>
      </w:r>
      <w:r>
        <w:rPr>
          <w:rFonts w:hint="eastAsia" w:ascii="仿宋_GB2312" w:hAnsi="仿宋_GB2312" w:eastAsia="仿宋_GB2312" w:cs="仿宋_GB2312"/>
          <w:sz w:val="28"/>
          <w:szCs w:val="28"/>
        </w:rPr>
        <w:t>食、游、娱、购、体、展、演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于一体的特色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新业态，经镇政府相关主管部门同意，在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兴华中路及兴华中路二街路段开展灯光夜市步行街项目。现对夜市流动摊位进行对外公开招商，流动摊位招商公告如下：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：中山市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凤创企业管理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二、经营期限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日至20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个月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三、基本情况：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1、坐落位置：东凤镇兴华中路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（富华路交界至兴华中路三街交界）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及兴华中路二街。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2、规格：大卡：6米*2.2米（26个），中卡：3米*2米（179个）和小卡：2.7米*2米（4个）。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3、不提供水电。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4、总摊位数：209个，其中兴华中路138个，兴华中路二街71个，详见附图。（具体开投摊位数量视报名人数决定）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四、禁止行为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2、私自转租行为。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五、租赁方案：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1、本次摊位招标路段：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none"/>
          <w:lang w:val="en-US" w:eastAsia="zh-CN"/>
        </w:rPr>
        <w:t>兴华中路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（富华路交界至兴华中路三街交界）及兴华中路二街；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2、经营范围如下：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兴华中路为经营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服装、美容美甲、日用小百货、小装饰品、小商品、无油烟类茶饮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（2）兴华中路二街为经营临时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熟食、小吃、烧烤类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3、租期：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3个月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，统一经营时间为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每天19:00至次日凌晨02:00（不得提前进场，并按时撤场）；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4、保证金：3000元。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竞投管理费底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价（人民币）：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竞投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月管理费底价，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兴华中路路段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大卡为1500元/卡，中卡为1000元/卡；兴华中路二街路段中卡及小卡均为1500元/卡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6、计租时间：无免租期，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2023年10月1日至2023年12月31日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（按先支付后使用原则，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中标方需要在每月25日前支付次月管理费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7、招标人不组织现场踏勘，投标人须自行对现场进行踏勘，了解现状情况，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投标现场不作解答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投标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招投标方式：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采取现场明标出价方式竞投，出价最高且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底价者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2、第一次竞价可平价，之后每次竞价不少于50元（整数倍）月/卡。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七、报名时间、办法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各流动摊主的报名时间：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2023年9月18日-2023年9月20日止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每天下午：17:00-21:00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2、报名地点：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中山市东凤镇兴华中路领丰汇广场治安亭旁（近公交站）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联系人：温先生   联系电话：0760-22600443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报名所需资料：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流动摊主本人身份证原件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本次招标只接受本人现场报名，不可委托代办。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八、招投标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时间、地点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6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公开竞标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right="0" w:firstLine="280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兴华中路二街路段摊位：2023年9月21日上午9:00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，请报名人员提前15分钟以上到达投标现场签到。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right="0" w:firstLine="281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（2）兴华中路路段摊位：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2023年9月22日上午9:00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，请报名人员提前15分钟以上到达投标现场签到。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6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正式开标后迟到15分钟当弃权处理，并只接受报名本人参与投标，不可委托投标。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57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公开竞标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东凤镇凤翔大道13号综治信访维稳中心五楼开标室（东凤壹加壹对面，如开标地点时间变化另行通知）。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57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3、现场公布中标经营者名单。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九、夜市管理细则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1、入场经营者必须持有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夜市临时摊位卡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方可入场进行交易。各经营者必须合法经营，按照指定地点和经营范围进行经营交易。 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2、入场经营者必须在规定时间范围内进行经营，不准提前进场，必须按时撤场。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（夜市时间为19:00-次日凌晨02:00）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    3、经营者不得从事违禁、违法、刀具及危险爆炸物等危险物品的经营。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4、入场经营者要保持场内卫生清洁。入场经营者必须保证周边环境卫生，产生的垃圾及时清理干净。经营油炸食品等造成污染的经营者，经营过程中需采取措施保持好场内地面和周边环境卫生。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5、经营场地内不允许破坏场内公共设施（如路灯、大理石路面等）如有破坏者须按价赔偿。经营者在经营过程中须无条件配合维修工作。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6、摊位采用实名制摆摊，建立商户档案。我司对违规行为进行记录，在摆卖有效期内有违规行为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（如发现转租、超出经营范围和未履行门前三包等行为），达三次书面警告后，直接取消摆卖资格并没收剩余租金和保证金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7、按指定位置统一摆放，各经营者亮证经营。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8、经营者须自备灭火设备，应对突发火灾事故。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各食品类摊位经营者必须在中标后30天内完成食品摊贩登记卡手续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十、其他事项</w:t>
      </w:r>
    </w:p>
    <w:p>
      <w:pPr>
        <w:ind w:left="0" w:leftChars="0" w:firstLine="420" w:firstLineChars="15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中标单位必须当天在现场缴清保证金和一个月的管理费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ind w:left="0" w:leftChars="0" w:firstLine="420" w:firstLineChars="15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2、中标方经营期间实行门前三包，必须自行清洁卡位周边环境卫生，不得乱丢弃、堆放垃圾及杂物。</w:t>
      </w:r>
    </w:p>
    <w:p>
      <w:pPr>
        <w:ind w:left="0" w:leftChars="0" w:firstLine="420" w:firstLineChars="15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3、此租赁方案最终解释权归我司。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1、东凤镇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灯光夜市步行街流动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摊位商户承诺书（兴华中路）；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东凤镇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灯光夜市步行街流动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摊位商户承诺书（兴华中路二街）；</w:t>
      </w:r>
    </w:p>
    <w:p>
      <w:pPr>
        <w:numPr>
          <w:ilvl w:val="0"/>
          <w:numId w:val="0"/>
        </w:numPr>
        <w:ind w:firstLine="3640" w:firstLineChars="1300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3640" w:firstLineChars="13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中山市凤创企业管理有限责任公司</w:t>
      </w:r>
    </w:p>
    <w:p>
      <w:pPr>
        <w:numPr>
          <w:ilvl w:val="0"/>
          <w:numId w:val="0"/>
        </w:numPr>
        <w:ind w:firstLine="5320" w:firstLineChars="19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2023年9月18日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东凤镇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灯光夜市步行街流动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摊位商户承诺书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兴华中路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中山市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凤创企业管理</w:t>
      </w:r>
      <w:r>
        <w:rPr>
          <w:rFonts w:hint="eastAsia" w:ascii="仿宋" w:hAnsi="仿宋" w:eastAsia="仿宋" w:cs="仿宋"/>
          <w:sz w:val="28"/>
          <w:szCs w:val="28"/>
        </w:rPr>
        <w:t>有限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责任</w:t>
      </w:r>
      <w:r>
        <w:rPr>
          <w:rFonts w:hint="eastAsia" w:ascii="仿宋" w:hAnsi="仿宋" w:eastAsia="仿宋" w:cs="仿宋"/>
          <w:sz w:val="28"/>
          <w:szCs w:val="28"/>
        </w:rPr>
        <w:t>公司: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本人申请使用贵司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管辖范围内位于东凤镇兴华中路流动临时</w:t>
      </w:r>
      <w:r>
        <w:rPr>
          <w:rFonts w:hint="eastAsia" w:ascii="仿宋" w:hAnsi="仿宋" w:eastAsia="仿宋" w:cs="仿宋"/>
          <w:sz w:val="28"/>
          <w:szCs w:val="28"/>
        </w:rPr>
        <w:t>摊位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)，该位置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区域经营范围属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使用期限为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1至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31日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numPr>
          <w:ilvl w:val="0"/>
          <w:numId w:val="0"/>
        </w:numPr>
        <w:ind w:leftChars="33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一）</w:t>
      </w:r>
      <w:r>
        <w:rPr>
          <w:rFonts w:hint="eastAsia" w:ascii="仿宋" w:hAnsi="仿宋" w:eastAsia="仿宋" w:cs="仿宋"/>
          <w:sz w:val="28"/>
          <w:szCs w:val="28"/>
        </w:rPr>
        <w:t>承诺该位置不用作堆放易燃易爆、有毒有害、有污染环境</w:t>
      </w:r>
    </w:p>
    <w:p>
      <w:pPr>
        <w:numPr>
          <w:ilvl w:val="0"/>
          <w:numId w:val="0"/>
        </w:numPr>
        <w:ind w:leftChars="3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危险物品或违法物品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及贵司规定外的</w:t>
      </w:r>
      <w:r>
        <w:rPr>
          <w:rFonts w:hint="eastAsia" w:ascii="仿宋" w:hAnsi="仿宋" w:eastAsia="仿宋" w:cs="仿宋"/>
          <w:sz w:val="28"/>
          <w:szCs w:val="28"/>
        </w:rPr>
        <w:t>其他用途。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（二）承诺摊位采用实名制摆摊，持夜市临时摊位卡入场进行交易，合法经营，按照指定地点和经营范围进行经营交易。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（三）承诺在规定时间内进行经营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，不提前进场，按时撤场（夜市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时间每天19:00—次日凌晨02：00）。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（四）承诺</w:t>
      </w:r>
      <w:r>
        <w:rPr>
          <w:rFonts w:hint="eastAsia" w:ascii="仿宋" w:hAnsi="仿宋" w:eastAsia="仿宋" w:cs="仿宋"/>
          <w:sz w:val="28"/>
          <w:szCs w:val="28"/>
        </w:rPr>
        <w:t>摊位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</w:t>
      </w:r>
      <w:r>
        <w:rPr>
          <w:rFonts w:hint="eastAsia" w:ascii="仿宋" w:hAnsi="仿宋" w:eastAsia="仿宋" w:cs="仿宋"/>
          <w:sz w:val="28"/>
          <w:szCs w:val="28"/>
        </w:rPr>
        <w:t>区域经营，固定摊位，统一编号管理，定点定位，不越线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承诺在摆摊期间不得擅自转让摊位，否则贵司有权取消经营资格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（六）承诺不破坏场内公共设施（路灯、大理石路面等）如有破坏按价赔偿，在经营过程中无条件配合维修工作。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（七）承诺如遇到政府职能部门要求停止摆摊时，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须无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条件配合工作，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不追究任何赔偿。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）承诺沿用先支付后使用原则，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需在每月25日之前支付次月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期间的管理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费用等</w:t>
      </w:r>
      <w:r>
        <w:rPr>
          <w:rFonts w:hint="eastAsia" w:ascii="仿宋" w:hAnsi="仿宋" w:eastAsia="仿宋" w:cs="仿宋"/>
          <w:sz w:val="28"/>
          <w:szCs w:val="28"/>
        </w:rPr>
        <w:t>（¥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）给贵司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指定日期前未能</w:t>
      </w:r>
      <w:r>
        <w:rPr>
          <w:rFonts w:hint="eastAsia" w:ascii="仿宋" w:hAnsi="仿宋" w:eastAsia="仿宋" w:cs="仿宋"/>
          <w:sz w:val="28"/>
          <w:szCs w:val="28"/>
        </w:rPr>
        <w:t>支付或未足额支付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相关费用</w:t>
      </w:r>
      <w:r>
        <w:rPr>
          <w:rFonts w:hint="eastAsia" w:ascii="仿宋" w:hAnsi="仿宋" w:eastAsia="仿宋" w:cs="仿宋"/>
          <w:sz w:val="28"/>
          <w:szCs w:val="28"/>
        </w:rPr>
        <w:t>，贵司有权收回摊位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另行招商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并没收保证金，且</w:t>
      </w:r>
      <w:r>
        <w:rPr>
          <w:rFonts w:hint="eastAsia" w:ascii="仿宋" w:hAnsi="仿宋" w:eastAsia="仿宋" w:cs="仿宋"/>
          <w:sz w:val="28"/>
          <w:szCs w:val="28"/>
        </w:rPr>
        <w:t>不需作任何补偿。</w:t>
      </w:r>
    </w:p>
    <w:p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九）承诺在使用期内中途不再使用摊位的，保证金不予退还。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（十）承诺文明经营，做到衣着整齐、卫生；不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>妨碍道路交通、行人及消防安全；不影响市容和环境卫生；不影响周围居民的正常生活。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>（十一）承诺在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</w:rPr>
        <w:t>划定的区域内经营，严禁在非指定区域摆摊设点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  <w:t>否则贵司有权收回摊位另行招商。</w:t>
      </w:r>
    </w:p>
    <w:p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承诺人: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年    月    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东凤镇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灯光夜市步行街流动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摊位商户承诺书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兴华中路二街）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中山市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凤创企业管理</w:t>
      </w:r>
      <w:r>
        <w:rPr>
          <w:rFonts w:hint="eastAsia" w:ascii="仿宋" w:hAnsi="仿宋" w:eastAsia="仿宋" w:cs="仿宋"/>
          <w:sz w:val="28"/>
          <w:szCs w:val="28"/>
        </w:rPr>
        <w:t>有限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责任</w:t>
      </w:r>
      <w:r>
        <w:rPr>
          <w:rFonts w:hint="eastAsia" w:ascii="仿宋" w:hAnsi="仿宋" w:eastAsia="仿宋" w:cs="仿宋"/>
          <w:sz w:val="28"/>
          <w:szCs w:val="28"/>
        </w:rPr>
        <w:t>公司:</w:t>
      </w:r>
    </w:p>
    <w:p>
      <w:pPr>
        <w:ind w:left="1" w:leftChars="-266" w:hanging="560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本人申请使用贵司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管辖范围内位于东凤镇兴华中路二街流动临时</w:t>
      </w:r>
      <w:r>
        <w:rPr>
          <w:rFonts w:hint="eastAsia" w:ascii="仿宋" w:hAnsi="仿宋" w:eastAsia="仿宋" w:cs="仿宋"/>
          <w:sz w:val="28"/>
          <w:szCs w:val="28"/>
        </w:rPr>
        <w:t>摊位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)，该位置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区域经营范围</w:t>
      </w:r>
      <w:r>
        <w:rPr>
          <w:rFonts w:hint="eastAsia" w:ascii="仿宋" w:hAnsi="仿宋" w:eastAsia="仿宋" w:cs="仿宋"/>
          <w:sz w:val="28"/>
          <w:szCs w:val="28"/>
        </w:rPr>
        <w:t>属于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限为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（一）承诺该位置不用作堆放易燃易爆、有毒有害、有污染环境等危险物品或违法物品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及贵司规定外的</w:t>
      </w:r>
      <w:r>
        <w:rPr>
          <w:rFonts w:hint="eastAsia" w:ascii="仿宋" w:hAnsi="仿宋" w:eastAsia="仿宋" w:cs="仿宋"/>
          <w:sz w:val="28"/>
          <w:szCs w:val="28"/>
        </w:rPr>
        <w:t>其他用途。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（二）承诺摊位采用实名制摆摊，持夜市临时摊位卡入场进行交易，合法经营，按照指定地点和经营范围进行经营交易。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（三）承诺在规定时间内进行经营，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不提前进场，按时撤场（夜市时间每天19:00—次日凌晨02：00）。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（四）承诺</w:t>
      </w:r>
      <w:r>
        <w:rPr>
          <w:rFonts w:hint="eastAsia" w:ascii="仿宋" w:hAnsi="仿宋" w:eastAsia="仿宋" w:cs="仿宋"/>
          <w:sz w:val="28"/>
          <w:szCs w:val="28"/>
        </w:rPr>
        <w:t>摊位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</w:t>
      </w:r>
      <w:r>
        <w:rPr>
          <w:rFonts w:hint="eastAsia" w:ascii="仿宋" w:hAnsi="仿宋" w:eastAsia="仿宋" w:cs="仿宋"/>
          <w:sz w:val="28"/>
          <w:szCs w:val="28"/>
        </w:rPr>
        <w:t>区域经营，固定摊位，统一编号管理，定点定位，不越线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必须严格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遵守《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中华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人民共和国食品安全法》等法律、法规的相关规定和要求，不得采购、加工、出售腐烂变质等不符合食品安全要求、对人体健康有害的食品。所有烹饪、熟食制作、加工只能使用半成品，不得现场宰杀、加工。出售前的各种食品必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置在防尘、防蝇的设施里，生熟食物必须分开放置等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）使用清洁能源，禁止使用散煤、煤球、煤炭、焦炭、木炭等非清洁能源，减少明火使用；摊位需具备油烟</w:t>
      </w:r>
      <w:r>
        <w:rPr>
          <w:rFonts w:hint="eastAsia" w:ascii="仿宋" w:hAnsi="仿宋" w:eastAsia="仿宋" w:cs="仿宋"/>
          <w:sz w:val="28"/>
          <w:szCs w:val="28"/>
        </w:rPr>
        <w:t>净化及地面防护设施，避免对空气和地面造成污染。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使用卫生达标的消毒餐具或一次性可降解环保餐具，不得使用未消毒餐具，不得现场洗涮餐具。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（八）承诺在摆摊期间不得擅自转让摊位，否则贵司有权取消经营资格。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（九）承诺不破坏场内公共设施（路灯、大理石路面等）如有破坏按价赔偿，在经营过程中无条件配合维修工作。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（十）承诺如遇到政府职能部门要求停止摆摊时，须无条件配合工作，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不追究任何赔偿。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（十一</w:t>
      </w:r>
      <w:r>
        <w:rPr>
          <w:rFonts w:hint="eastAsia" w:ascii="仿宋" w:hAnsi="仿宋" w:eastAsia="仿宋" w:cs="仿宋"/>
          <w:sz w:val="28"/>
          <w:szCs w:val="28"/>
        </w:rPr>
        <w:t>）承诺沿用先支付后使用原则，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需在每月25日之前支付次月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期间的管理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费用等</w:t>
      </w:r>
      <w:r>
        <w:rPr>
          <w:rFonts w:hint="eastAsia" w:ascii="仿宋" w:hAnsi="仿宋" w:eastAsia="仿宋" w:cs="仿宋"/>
          <w:sz w:val="28"/>
          <w:szCs w:val="28"/>
        </w:rPr>
        <w:t>（¥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）给贵司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指定日期前未能</w:t>
      </w:r>
      <w:r>
        <w:rPr>
          <w:rFonts w:hint="eastAsia" w:ascii="仿宋" w:hAnsi="仿宋" w:eastAsia="仿宋" w:cs="仿宋"/>
          <w:sz w:val="28"/>
          <w:szCs w:val="28"/>
        </w:rPr>
        <w:t>支付或未足额支付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相关费用</w:t>
      </w:r>
      <w:r>
        <w:rPr>
          <w:rFonts w:hint="eastAsia" w:ascii="仿宋" w:hAnsi="仿宋" w:eastAsia="仿宋" w:cs="仿宋"/>
          <w:sz w:val="28"/>
          <w:szCs w:val="28"/>
        </w:rPr>
        <w:t>，贵司有权收回摊位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另行招商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并没收保证金，且</w:t>
      </w:r>
      <w:r>
        <w:rPr>
          <w:rFonts w:hint="eastAsia" w:ascii="仿宋" w:hAnsi="仿宋" w:eastAsia="仿宋" w:cs="仿宋"/>
          <w:sz w:val="28"/>
          <w:szCs w:val="28"/>
        </w:rPr>
        <w:t>不需作任何补偿。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十二）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承诺在使用期内中途不再使用摊位的，保证金不予退还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（十三）承诺文明经营，做到衣着整齐、卫生；不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28"/>
          <w:szCs w:val="28"/>
          <w:highlight w:val="none"/>
          <w:u w:val="none"/>
          <w:lang w:val="en-US" w:eastAsia="zh-CN"/>
        </w:rPr>
        <w:t>妨碍道路交通、行人及消防安全；不影响市容和环境卫生；不影响周围居民的正常生活。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80" w:firstLineChars="1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28"/>
          <w:szCs w:val="28"/>
          <w:highlight w:val="none"/>
          <w:u w:val="none"/>
          <w:lang w:val="en-US" w:eastAsia="zh-CN"/>
        </w:rPr>
        <w:t>（十四）承诺在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highlight w:val="none"/>
          <w:u w:val="none"/>
          <w:shd w:val="clear" w:color="auto" w:fill="FFFFFF"/>
        </w:rPr>
        <w:t>划定的区域内经营，严禁在非指定区域摆摊设点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  <w:t>，否则贵司有权收回摊位另行招商。</w:t>
      </w:r>
    </w:p>
    <w:p>
      <w:pPr>
        <w:ind w:firstLine="5600" w:firstLineChars="20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0" w:firstLineChars="20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0" w:firstLineChars="20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0" w:firstLineChars="20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承诺人: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ind w:firstLine="5600" w:firstLineChars="20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身份证号：</w:t>
      </w:r>
    </w:p>
    <w:p>
      <w:pPr>
        <w:ind w:firstLine="5600" w:firstLineChars="20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bidi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1"/>
          <w:szCs w:val="24"/>
          <w:lang w:val="en-US" w:eastAsia="zh-CN" w:bidi="ar-SA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年   月    日</w:t>
      </w:r>
    </w:p>
    <w:p/>
    <w:sectPr>
      <w:footerReference r:id="rId3" w:type="default"/>
      <w:pgSz w:w="11906" w:h="16838"/>
      <w:pgMar w:top="850" w:right="1701" w:bottom="85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jJlOTAzMjM4MzUwMWUyNTcyZmE3MmU5ZDA1ZTEifQ=="/>
  </w:docVars>
  <w:rsids>
    <w:rsidRoot w:val="554B0401"/>
    <w:rsid w:val="554B0401"/>
    <w:rsid w:val="58C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2023-09-18T16:35:00Z</dcterms:created>
  <dc:creator>-77</dc:creator>
  <cp:lastModifiedBy>何绮淇</cp:lastModifiedBy>
  <dcterms:modified xsi:type="dcterms:W3CDTF">2023-09-21T08:49:11Z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C446EA0DBF904DB9AC286C9CB60E9DFA_11</vt:lpwstr>
  </property>
</Properties>
</file>