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Lines="0" w:afterLines="0" w:line="574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6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2"/>
          <w:sz w:val="44"/>
          <w:szCs w:val="44"/>
        </w:rPr>
        <w:t>中山市东凤镇安乐村低效工业园（梧桐计划第十二组）改造升级第一期“工改工”宗地项目</w:t>
      </w:r>
    </w:p>
    <w:p>
      <w:pPr>
        <w:widowControl w:val="0"/>
        <w:spacing w:beforeLines="0" w:afterLines="0" w:line="574" w:lineRule="exact"/>
        <w:ind w:firstLine="0" w:firstLineChars="0"/>
        <w:jc w:val="center"/>
        <w:rPr>
          <w:rFonts w:hint="default" w:ascii="方正小标宋简体" w:hAnsi="方正小标宋简体" w:eastAsia="方正小标宋简体" w:cs="方正小标宋简体"/>
          <w:color w:val="auto"/>
          <w:spacing w:val="-6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2"/>
          <w:sz w:val="44"/>
          <w:szCs w:val="44"/>
        </w:rPr>
        <w:t>“三旧”改造方案</w:t>
      </w:r>
    </w:p>
    <w:p>
      <w:pPr>
        <w:spacing w:beforeLines="0" w:afterLines="0" w:line="574" w:lineRule="exact"/>
        <w:ind w:firstLine="0" w:firstLineChars="0"/>
        <w:jc w:val="both"/>
        <w:rPr>
          <w:rFonts w:ascii="仿宋_GB2312" w:hAnsi="仿宋_GB2312" w:eastAsia="仿宋_GB2312" w:cs="仿宋_GB2312"/>
          <w:color w:val="auto"/>
          <w:spacing w:val="-6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 w:line="574" w:lineRule="exact"/>
        <w:ind w:left="0" w:right="0" w:firstLine="616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shd w:val="clear" w:color="auto" w:fill="FFFFFF"/>
        </w:rPr>
        <w:t>根据中山市城市更新（“三旧”改造）专项规划和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经批复规划条件论证报告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shd w:val="clear" w:color="auto" w:fill="FFFFFF"/>
          <w:lang w:eastAsia="zh-CN"/>
        </w:rPr>
        <w:t>东凤镇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shd w:val="clear" w:color="auto" w:fill="FFFFFF"/>
        </w:rPr>
        <w:t>人民政府拟对位于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shd w:val="clear" w:color="auto" w:fill="FFFFFF"/>
          <w:lang w:eastAsia="zh-CN"/>
        </w:rPr>
        <w:t>东凤镇安乐村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中山市东凤镇安乐村股份合作经济联合社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下称“安乐股联社”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shd w:val="clear" w:color="auto" w:fill="FFFFFF"/>
          <w:lang w:eastAsia="zh-CN"/>
        </w:rPr>
        <w:t>）旧厂房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shd w:val="clear" w:color="auto" w:fill="FFFFFF"/>
        </w:rPr>
        <w:t>用地进行改造，由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shd w:val="clear" w:color="auto" w:fill="FFFFFF"/>
          <w:lang w:eastAsia="zh-CN"/>
        </w:rPr>
        <w:t>安乐股联社自主改造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shd w:val="clear" w:color="auto" w:fill="FFFFFF"/>
        </w:rPr>
        <w:t>，采取全面改造的改造方式。改造方案如下：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 w:line="574" w:lineRule="exact"/>
        <w:ind w:left="0" w:right="0" w:firstLine="616"/>
        <w:jc w:val="both"/>
        <w:outlineLvl w:val="0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-6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-6"/>
          <w:sz w:val="32"/>
          <w:szCs w:val="32"/>
          <w:highlight w:val="none"/>
          <w:u w:val="none"/>
          <w:shd w:val="clear" w:color="auto" w:fill="FFFFFF"/>
        </w:rPr>
        <w:t>一、改造地块基本情况</w:t>
      </w:r>
    </w:p>
    <w:p>
      <w:pPr>
        <w:pStyle w:val="2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 w:line="574" w:lineRule="exact"/>
        <w:ind w:left="0" w:right="0" w:firstLine="615"/>
        <w:outlineLvl w:val="1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Times New Roman" w:hAnsi="Times New Roman" w:eastAsia="楷体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（一）总体情况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Lines="0" w:beforeAutospacing="0" w:after="0" w:afterLines="0" w:afterAutospacing="0" w:line="574" w:lineRule="exact"/>
        <w:ind w:left="0" w:right="0" w:firstLine="616"/>
        <w:jc w:val="both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highlight w:val="none"/>
          <w:u w:val="none"/>
          <w:shd w:val="clear" w:color="auto" w:fill="auto"/>
        </w:rPr>
        <w:t>改造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highlight w:val="none"/>
          <w:u w:val="none"/>
          <w:shd w:val="clear" w:color="auto" w:fill="auto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highlight w:val="none"/>
          <w:u w:val="none"/>
          <w:shd w:val="clear" w:color="auto" w:fill="auto"/>
        </w:rPr>
        <w:t>位于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highlight w:val="none"/>
          <w:u w:val="none"/>
          <w:shd w:val="clear" w:color="auto" w:fill="auto"/>
          <w:lang w:eastAsia="zh-CN"/>
        </w:rPr>
        <w:t>东凤镇安乐村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highlight w:val="none"/>
          <w:u w:val="none"/>
          <w:shd w:val="clear" w:color="auto" w:fill="auto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北至停车场，南至厂房，西至同乐三路，东至村集体厂房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highlight w:val="none"/>
          <w:u w:val="none"/>
          <w:shd w:val="clear" w:color="auto" w:fill="auto"/>
          <w:lang w:eastAsia="zh-CN"/>
        </w:rPr>
        <w:t>，项目总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highlight w:val="none"/>
          <w:u w:val="none"/>
          <w:shd w:val="clear" w:color="auto" w:fill="auto"/>
        </w:rPr>
        <w:t>用地面积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1.9511公顷（19510.57平方米，折合29.27亩）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highlight w:val="none"/>
          <w:u w:val="none"/>
          <w:shd w:val="clear" w:color="auto" w:fill="auto"/>
        </w:rPr>
        <w:t>。</w:t>
      </w:r>
    </w:p>
    <w:p>
      <w:pPr>
        <w:pStyle w:val="2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 w:line="574" w:lineRule="exact"/>
        <w:ind w:left="0" w:right="0" w:firstLine="615"/>
        <w:outlineLvl w:val="1"/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（二）标图入库情况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Lines="0" w:beforeAutospacing="0" w:after="0" w:afterLines="0" w:afterAutospacing="0" w:line="574" w:lineRule="exact"/>
        <w:ind w:left="0" w:right="0" w:firstLine="616"/>
        <w:jc w:val="left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  <w:t>改造地块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eastAsia="zh-CN"/>
        </w:rPr>
        <w:t>待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  <w:t>办理闲置放行后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eastAsia="zh-CN"/>
        </w:rPr>
        <w:t>，可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  <w:t>办理标图入库工作，经初步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eastAsia="zh-CN"/>
        </w:rPr>
        <w:t>核查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可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纳入图斑面积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1.9511公顷（19510.57平方米，折合29.27亩）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，改造地块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全部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纳入本次改造范围。</w:t>
      </w:r>
      <w:bookmarkStart w:id="4" w:name="_GoBack"/>
      <w:bookmarkEnd w:id="4"/>
    </w:p>
    <w:p>
      <w:pPr>
        <w:pStyle w:val="21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4" w:lineRule="exact"/>
        <w:ind w:left="0" w:leftChars="0" w:right="0" w:rightChars="0" w:firstLine="620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sz w:val="31"/>
          <w:szCs w:val="31"/>
          <w:u w:val="none"/>
          <w:shd w:val="clear" w:color="auto" w:fill="FFFFFF"/>
          <w:lang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sz w:val="31"/>
          <w:szCs w:val="31"/>
          <w:u w:val="none"/>
          <w:shd w:val="clear" w:color="auto" w:fill="FFFFFF"/>
          <w:lang w:bidi="ar"/>
        </w:rPr>
        <w:t>（三）权属情况</w:t>
      </w:r>
    </w:p>
    <w:p>
      <w:pPr>
        <w:widowControl w:val="0"/>
        <w:spacing w:beforeLines="0" w:after="0" w:afterLines="0" w:line="574" w:lineRule="exact"/>
        <w:ind w:firstLine="616" w:firstLineChars="0"/>
        <w:jc w:val="left"/>
        <w:outlineLvl w:val="9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改造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范围内涉及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土地，均为集体建设用地，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土地用途为工业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。其中，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地块一面积0.8269公顷（8269平方米，折合12.40亩），已办理集体所有权证和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土地使用权证，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所有权证号为中府集有(2013)第0300025号，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不动产权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证号为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粤（2023）中山市不动产权第0316943号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，为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安乐股联社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自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2007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月开始使用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。地块二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面积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1.1242公顷（11241.57平方米，折合16.86亩），未办理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土地使用权证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,已办理土地所有权证，所有权证号为中府集有(2013)第0300025号，为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安乐股联社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自2005年5月开始使用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。</w:t>
      </w:r>
    </w:p>
    <w:p>
      <w:pPr>
        <w:pStyle w:val="21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4" w:lineRule="exact"/>
        <w:ind w:left="0" w:leftChars="0" w:right="0" w:rightChars="0" w:firstLine="620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sz w:val="31"/>
          <w:szCs w:val="31"/>
          <w:u w:val="none"/>
          <w:shd w:val="clear" w:color="auto" w:fill="FFFFFF"/>
          <w:lang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sz w:val="31"/>
          <w:szCs w:val="31"/>
          <w:u w:val="none"/>
          <w:shd w:val="clear" w:color="auto" w:fill="FFFFFF"/>
          <w:lang w:bidi="ar"/>
        </w:rPr>
        <w:t>（四）土地现状情况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16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改造地块“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二调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及最新土地利用现状地类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为建设用地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1.9511公顷（19510.57平方米，折合29.27亩）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其中地块一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已完善建设用地手续，地块二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未完善建设用地手续。改造地块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不涉及边角地、夹心地、插花地（下称“三地”）、其他用地、征地留用地、与原“三旧”用地置换的“三旧”用地或其他存量建设用地、使用原“三旧”用地复垦产生的规模或指标的非建设用地等。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16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改造地块现有7栋建筑物，为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安乐股联社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自2007年11月开始使用,无合法规划报建等手续，建筑面积13287.87平方米，现状容积率0.68，作工业用途所用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该地块目前已拆除建筑面积0平方米。改造前年产值约为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1150万元（折合39万元/亩）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，年税收约为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万元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（折合3.4万元/亩）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。</w:t>
      </w:r>
    </w:p>
    <w:p>
      <w:pPr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16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改造地块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不涉及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抵押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历史文化资源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要素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等情况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不属于</w:t>
      </w:r>
      <w:r>
        <w:rPr>
          <w:rFonts w:hint="default" w:ascii="Times New Roman" w:hAnsi="Times New Roman" w:eastAsia="仿宋_GB2312" w:cs="Times New Roman"/>
          <w:b w:val="0"/>
          <w:bCs/>
          <w:spacing w:val="-6"/>
          <w:sz w:val="32"/>
          <w:szCs w:val="32"/>
          <w:highlight w:val="none"/>
          <w:lang w:val="en-US" w:eastAsia="zh-CN"/>
        </w:rPr>
        <w:t>土壤环境潜在监管地块范围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地块一正在办理闲置放行，地块二不涉及闲置情况。改造地块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涉及违法使用土地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1.1242公顷（11241.57平方米，折合16.86亩），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已落实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违法用地处罚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20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sz w:val="31"/>
          <w:szCs w:val="31"/>
          <w:u w:val="none"/>
          <w:shd w:val="clear" w:color="auto" w:fill="FFFFFF"/>
          <w:lang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sz w:val="31"/>
          <w:szCs w:val="31"/>
          <w:u w:val="none"/>
          <w:shd w:val="clear" w:color="auto" w:fill="FFFFFF"/>
          <w:lang w:bidi="ar"/>
        </w:rPr>
        <w:t>（五）规划情况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16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改造地块符合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国土空间总体规划（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土地利用总体规划）、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已批复规划条件论证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已纳入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highlight w:val="none"/>
        </w:rPr>
        <w:t>《中山市城市更新（“三旧”改造）专项规划（2020-2035）》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highlight w:val="none"/>
          <w:lang w:val="en-US" w:eastAsia="zh-CN"/>
        </w:rPr>
        <w:t>其中，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在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国土空间总体规划（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土地利用总体规划）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中，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属建设用地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1.9511公顷（19510.57平方米，折合29.27亩）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《中山市东凤镇工业用地规划条件论证》（中府函</w:t>
      </w:r>
      <w:r>
        <w:rPr>
          <w:rFonts w:hint="default" w:ascii="Times New Roman" w:hAnsi="Times New Roman" w:eastAsia="仿宋_GB2312" w:cs="Times New Roman"/>
          <w:spacing w:val="0"/>
          <w:kern w:val="32"/>
          <w:sz w:val="32"/>
          <w:szCs w:val="32"/>
        </w:rPr>
        <w:t>〔202</w:t>
      </w:r>
      <w:r>
        <w:rPr>
          <w:rFonts w:hint="eastAsia" w:eastAsia="仿宋_GB2312" w:cs="Times New Roman"/>
          <w:spacing w:val="0"/>
          <w:kern w:val="3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0"/>
          <w:kern w:val="32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290号）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中，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属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一类工业用地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1.9506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公顷（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1950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67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平方米，折合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29.26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亩），规划容积率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1.0-3.5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，建筑密度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35%-60%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，绿地率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10%-15%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生产性建筑高度≤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0米，配套设施建筑高度≤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0米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；属道路用地0.0005公顷（4.9平方米，折合0.007亩）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16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改造地块位于城镇开发边界内，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不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涉及到永久基本农田、生态保护红线等管控要求。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afterAutospacing="0" w:line="574" w:lineRule="exact"/>
        <w:ind w:left="0" w:leftChars="0" w:right="0" w:rightChars="0" w:firstLine="616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</w:rPr>
        <w:t>二、改造意愿及安置补偿情况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20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bidi="ar"/>
        </w:rPr>
        <w:t>（一）改造意愿情况</w:t>
      </w:r>
    </w:p>
    <w:p>
      <w:pPr>
        <w:widowControl w:val="0"/>
        <w:spacing w:beforeLines="0" w:afterLines="0" w:line="574" w:lineRule="exact"/>
        <w:ind w:firstLine="616" w:firstLineChars="0"/>
        <w:jc w:val="left"/>
        <w:outlineLvl w:val="9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shd w:val="clear" w:color="auto" w:fill="auto"/>
        </w:rPr>
        <w:t>改造范围涉及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东凤镇安乐股联社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shd w:val="clear" w:color="auto" w:fill="auto"/>
        </w:rPr>
        <w:t>个权利主体，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shd w:val="clear" w:color="auto" w:fill="auto"/>
          <w:lang w:eastAsia="zh-CN"/>
        </w:rPr>
        <w:t>东凤镇人民政府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shd w:val="clear" w:color="auto" w:fill="auto"/>
          <w:lang w:val="en-US" w:eastAsia="zh-CN"/>
        </w:rPr>
        <w:t>拟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按照法律法规，就改造范围、土地现状、改造主体及拟改造情况等事项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征询涉及所有权利人改造意愿，经安乐股联社股东代表大会三分之二以上成员同意，将涉及土地、房屋纳入改造范围。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20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eastAsia="zh-CN" w:bidi="ar"/>
        </w:rPr>
        <w:t>（二）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bidi="ar"/>
        </w:rPr>
        <w:t>补偿安置情况</w:t>
      </w:r>
      <w:bookmarkStart w:id="0" w:name="OLE_LINK33"/>
      <w:bookmarkStart w:id="1" w:name="OLE_LINK3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改造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项目由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东凤镇安乐股联社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自愿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申请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集体建设用地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1.9511公顷（19510.57平方米，折合29.27亩）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转为国有建设用地，不涉及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征地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补偿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安置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补助、青苗及地上附着物补偿、留用地安置、社会保障安置等补偿费用。</w:t>
      </w:r>
    </w:p>
    <w:bookmarkEnd w:id="0"/>
    <w:bookmarkEnd w:id="1"/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20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bidi="ar"/>
        </w:rPr>
        <w:t>（三）开展社会稳定风险评估情况</w:t>
      </w:r>
    </w:p>
    <w:p>
      <w:pPr>
        <w:widowControl w:val="0"/>
        <w:spacing w:beforeLines="0" w:afterLines="0" w:line="574" w:lineRule="exact"/>
        <w:ind w:firstLine="616"/>
        <w:jc w:val="left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改造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地块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涉及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集体建设用地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1.9511公顷（19510.57平方米，折合29.27亩）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转为国有建设用地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，已按规定开展社会稳定风险评估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根据评估结果，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本改造项目风险等级为低风险，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 w:bidi="ar"/>
        </w:rPr>
        <w:t>由东凤镇人民政府负责落实相关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风险防范和化解措施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 w:bidi="ar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afterAutospacing="0" w:line="574" w:lineRule="exact"/>
        <w:ind w:left="0" w:leftChars="0" w:right="0" w:rightChars="0" w:firstLine="616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</w:rPr>
        <w:t>三、改造主体</w:t>
      </w:r>
      <w:r>
        <w:rPr>
          <w:rFonts w:hint="default" w:ascii="Times New Roman" w:hAnsi="Times New Roman" w:eastAsia="黑体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  <w:lang w:eastAsia="zh-CN"/>
        </w:rPr>
        <w:t>、需办理用地手续</w:t>
      </w:r>
      <w:r>
        <w:rPr>
          <w:rFonts w:hint="default" w:ascii="Times New Roman" w:hAnsi="Times New Roman" w:eastAsia="黑体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</w:rPr>
        <w:t>及拟改造情况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16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bidi="ar"/>
        </w:rPr>
        <w:t>根据有关规划要求，改造项目严格按照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土地利用总体规划、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经批复规划条件论证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bidi="ar"/>
        </w:rPr>
        <w:t>管控要求实施建设。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20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eastAsia="zh-CN" w:bidi="ar"/>
        </w:rPr>
        <w:t>（一）改造主体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  <w:u w:val="none"/>
        </w:rPr>
        <w:t>该改造项目属工改工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</w:rPr>
        <w:t>宗地项目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  <w:u w:val="none"/>
        </w:rPr>
        <w:t>，拟采取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  <w:u w:val="none"/>
          <w:lang w:eastAsia="zh-CN"/>
        </w:rPr>
        <w:t>权利人自主改造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  <w:u w:val="none"/>
        </w:rPr>
        <w:t>方式，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拟由中山市东凤镇安乐股联社作为改造主体实施全面改造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  <w:u w:val="none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20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eastAsia="zh-CN" w:bidi="ar"/>
        </w:rPr>
        <w:t>（二）办理用地手续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val="en-US" w:eastAsia="zh-CN" w:bidi="ar"/>
        </w:rPr>
        <w:t>情况</w:t>
      </w:r>
    </w:p>
    <w:p>
      <w:pPr>
        <w:numPr>
          <w:ilvl w:val="0"/>
          <w:numId w:val="0"/>
        </w:numPr>
        <w:spacing w:beforeLines="0" w:afterLines="0" w:line="574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1.用地报批</w:t>
      </w:r>
    </w:p>
    <w:p>
      <w:pPr>
        <w:numPr>
          <w:ilvl w:val="-1"/>
          <w:numId w:val="0"/>
        </w:numPr>
        <w:spacing w:beforeLines="0" w:afterLines="0" w:line="574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32"/>
          <w:sz w:val="32"/>
          <w:szCs w:val="32"/>
        </w:rPr>
        <w:t>根据《广东省旧城镇旧厂房旧村庄改造管理办法》（粤府令第279号）《广东省“三旧”改造标图入库和用地报批工作指引（202</w:t>
      </w:r>
      <w:r>
        <w:rPr>
          <w:rFonts w:hint="default" w:ascii="Times New Roman" w:hAnsi="Times New Roman" w:eastAsia="仿宋_GB2312" w:cs="Times New Roman"/>
          <w:spacing w:val="0"/>
          <w:kern w:val="3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0"/>
          <w:kern w:val="32"/>
          <w:sz w:val="32"/>
          <w:szCs w:val="32"/>
        </w:rPr>
        <w:t>年版）》（粤自然资函〔2021〕935号），改造地块符合办理</w:t>
      </w:r>
      <w:r>
        <w:rPr>
          <w:rFonts w:hint="default" w:ascii="Times New Roman" w:hAnsi="Times New Roman" w:eastAsia="仿宋_GB2312" w:cs="Times New Roman"/>
          <w:spacing w:val="0"/>
          <w:kern w:val="32"/>
          <w:sz w:val="32"/>
          <w:szCs w:val="32"/>
          <w:lang w:val="en-US" w:eastAsia="zh-CN"/>
        </w:rPr>
        <w:t>集体土地完善转用手续、</w:t>
      </w:r>
      <w:r>
        <w:rPr>
          <w:rFonts w:hint="default" w:ascii="Times New Roman" w:hAnsi="Times New Roman" w:eastAsia="仿宋_GB2312" w:cs="Times New Roman"/>
          <w:spacing w:val="0"/>
          <w:kern w:val="32"/>
          <w:sz w:val="32"/>
          <w:szCs w:val="32"/>
        </w:rPr>
        <w:t>集体建设用地转为国有建设用地手续的要求。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改造范围内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地块二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1.1242公顷（11241.57平方米，折合16.86亩）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，需办理集体土地完善转用手续，再与地块一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0.8269公顷（8269平方米，折合12.40亩）合计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1.9511公顷（19510.57平方米，折合29.27亩）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一并由安乐股联社自愿申请将集体建设用地转为国有建设用地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。</w:t>
      </w:r>
    </w:p>
    <w:p>
      <w:pPr>
        <w:numPr>
          <w:ilvl w:val="0"/>
          <w:numId w:val="0"/>
        </w:numPr>
        <w:spacing w:beforeLines="0" w:afterLines="0" w:line="574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2.土地供应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32"/>
          <w:sz w:val="32"/>
          <w:szCs w:val="32"/>
        </w:rPr>
        <w:t>根据《广东省旧城镇旧厂房旧村庄改造管理办法》（粤府令第279号）规定，“三旧”用地、“三地”和其他用地，除政府收储后按照规定划拨或者公开出让的情形外，可以以协议方式出让给符合条件的改造主体。改造地块符合上述</w:t>
      </w:r>
      <w:r>
        <w:rPr>
          <w:rFonts w:hint="default" w:ascii="Times New Roman" w:hAnsi="Times New Roman" w:eastAsia="仿宋_GB2312" w:cs="Times New Roman"/>
          <w:spacing w:val="0"/>
          <w:kern w:val="32"/>
          <w:sz w:val="32"/>
          <w:szCs w:val="32"/>
          <w:lang w:val="en-US" w:eastAsia="zh-CN"/>
        </w:rPr>
        <w:t>协议出让和划拨</w:t>
      </w:r>
      <w:r>
        <w:rPr>
          <w:rFonts w:hint="default" w:ascii="Times New Roman" w:hAnsi="Times New Roman" w:eastAsia="仿宋_GB2312" w:cs="Times New Roman"/>
          <w:spacing w:val="0"/>
          <w:kern w:val="32"/>
          <w:sz w:val="32"/>
          <w:szCs w:val="32"/>
        </w:rPr>
        <w:t>条件。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《中山市东凤镇工业用地规划条件论证》（中府函</w:t>
      </w:r>
      <w:r>
        <w:rPr>
          <w:rFonts w:hint="default" w:ascii="Times New Roman" w:hAnsi="Times New Roman" w:eastAsia="仿宋_GB2312" w:cs="Times New Roman"/>
          <w:spacing w:val="0"/>
          <w:kern w:val="32"/>
          <w:sz w:val="32"/>
          <w:szCs w:val="32"/>
        </w:rPr>
        <w:t>〔202</w:t>
      </w:r>
      <w:r>
        <w:rPr>
          <w:rFonts w:hint="eastAsia" w:eastAsia="仿宋_GB2312" w:cs="Times New Roman"/>
          <w:spacing w:val="0"/>
          <w:kern w:val="3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0"/>
          <w:kern w:val="32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290号），其中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1.9506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公顷（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1950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67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平方米，折合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29.26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亩）一类工业用地按照容积率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2.6-3.5拟采用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协议出让方式供地给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安乐股联社；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0.0005公顷（4.9平方米，折合0.007亩）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道路用地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拟采取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划拨方式供地给东凤镇人民政府。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20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eastAsia="zh-CN" w:bidi="ar"/>
        </w:rPr>
        <w:t>（三）拟改造情况</w:t>
      </w:r>
    </w:p>
    <w:p>
      <w:pPr>
        <w:spacing w:beforeLines="0" w:afterLines="0" w:line="574" w:lineRule="exact"/>
        <w:ind w:firstLine="616"/>
        <w:jc w:val="both"/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改造后将用于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智慧家电、燃气具、新材料生产的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工业厂房。在符合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已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批复规划条件论证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的基础上，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highlight w:val="none"/>
          <w:u w:val="none"/>
          <w:lang w:eastAsia="zh-CN"/>
        </w:rPr>
        <w:t>容积率不小于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2.6，新建建筑面积不小于56714.74平方米（含不计容建筑面积6000平方米），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不保留原有建筑。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项目相关情况须符合国家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《产业结构调整指导目录》、《中山市“三线一单”生态环境分区管控方案》和《中山市涉挥发性有机物项目环保管理规定》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改造后年产值将不低于1.17亿元（400万元/亩），年税收将不低于585.4万元（20万元/亩）。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afterAutospacing="0" w:line="574" w:lineRule="exact"/>
        <w:ind w:left="0" w:leftChars="0" w:right="0" w:rightChars="0" w:firstLine="616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  <w:lang w:eastAsia="zh-CN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</w:rPr>
        <w:t>资金筹措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spacing w:val="-6"/>
          <w:sz w:val="32"/>
          <w:szCs w:val="32"/>
        </w:rPr>
        <w:t>改造主体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拟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投入资金不少于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12190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万元进行改造，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其中自有资金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4876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万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元，银行借贷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7314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万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元，具体以资金筹措的实际情况为准。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划拨给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东凤镇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人民政府的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道路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用地，由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东凤镇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人民政府投入资金进行建设</w:t>
      </w:r>
      <w:bookmarkStart w:id="2" w:name="OLE_LINK17"/>
      <w:bookmarkStart w:id="3" w:name="OLE_LINK18"/>
      <w:r>
        <w:rPr>
          <w:rFonts w:ascii="Times New Roman" w:hAnsi="Times New Roman" w:eastAsia="仿宋_GB2312" w:cs="Times New Roman"/>
          <w:spacing w:val="-6"/>
          <w:sz w:val="32"/>
          <w:szCs w:val="32"/>
        </w:rPr>
        <w:t>。</w:t>
      </w:r>
      <w:bookmarkEnd w:id="2"/>
      <w:bookmarkEnd w:id="3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afterAutospacing="0" w:line="574" w:lineRule="exact"/>
        <w:ind w:left="0" w:leftChars="0" w:right="0" w:rightChars="0" w:firstLine="616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  <w:lang w:eastAsia="zh-CN"/>
        </w:rPr>
        <w:t>五、</w:t>
      </w:r>
      <w:r>
        <w:rPr>
          <w:rFonts w:hint="default" w:ascii="Times New Roman" w:hAnsi="Times New Roman" w:eastAsia="黑体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</w:rPr>
        <w:t>开发时序</w:t>
      </w:r>
    </w:p>
    <w:p>
      <w:pPr>
        <w:spacing w:beforeLines="0" w:afterLines="0" w:line="574" w:lineRule="exact"/>
        <w:ind w:firstLine="616"/>
        <w:jc w:val="both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开发周期为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2年，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拟分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1期开发建设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，自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土地交付之日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起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3个月内开工建设，自开工之日起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24</w:t>
      </w:r>
      <w: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  <w:t>个月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内竣工，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拟建建筑面积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highlight w:val="none"/>
          <w:u w:val="none"/>
          <w:lang w:val="en-US" w:eastAsia="zh-CN"/>
        </w:rPr>
        <w:t>56714.74平方米，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主要实施建设工业厂房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及相应配套设施。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afterAutospacing="0" w:line="574" w:lineRule="exact"/>
        <w:ind w:left="0" w:leftChars="0" w:right="0" w:rightChars="0" w:firstLine="616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pacing w:val="-6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</w:rPr>
        <w:t>、实施监管</w:t>
      </w:r>
    </w:p>
    <w:p>
      <w:pPr>
        <w:widowControl w:val="0"/>
        <w:spacing w:before="0" w:beforeLines="0" w:after="0" w:afterLines="0" w:afterAutospacing="0" w:line="574" w:lineRule="exact"/>
        <w:ind w:firstLine="616"/>
        <w:jc w:val="both"/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详见项目实施监管协议。</w:t>
      </w:r>
    </w:p>
    <w:sectPr>
      <w:headerReference r:id="rId5" w:type="default"/>
      <w:footerReference r:id="rId6" w:type="default"/>
      <w:pgSz w:w="11906" w:h="16838"/>
      <w:pgMar w:top="2098" w:right="1587" w:bottom="2098" w:left="1587" w:header="851" w:footer="992" w:gutter="0"/>
      <w:cols w:space="72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7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KXd1ky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pd3WT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ind w:left="480" w:firstLine="0" w:firstLineChars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0"/>
  <w:bordersDoNotSurroundFooter w:val="0"/>
  <w:trackRevisions w:val="1"/>
  <w:documentProtection w:enforcement="0"/>
  <w:defaultTabStop w:val="420"/>
  <w:hyphenationZone w:val="36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YzEwMWFlZmM3MjkzNzhhYzJmMWNjMDI2YzQzNDkifQ=="/>
  </w:docVars>
  <w:rsids>
    <w:rsidRoot w:val="00172A27"/>
    <w:rsid w:val="000005DC"/>
    <w:rsid w:val="00001355"/>
    <w:rsid w:val="00002385"/>
    <w:rsid w:val="00002691"/>
    <w:rsid w:val="0000305A"/>
    <w:rsid w:val="000121B5"/>
    <w:rsid w:val="00013467"/>
    <w:rsid w:val="00014EBB"/>
    <w:rsid w:val="00015357"/>
    <w:rsid w:val="00020487"/>
    <w:rsid w:val="00030C0D"/>
    <w:rsid w:val="00036572"/>
    <w:rsid w:val="0003712D"/>
    <w:rsid w:val="00043002"/>
    <w:rsid w:val="00044DC5"/>
    <w:rsid w:val="00065B5E"/>
    <w:rsid w:val="00067AAB"/>
    <w:rsid w:val="0007075A"/>
    <w:rsid w:val="0007257A"/>
    <w:rsid w:val="0007513A"/>
    <w:rsid w:val="00076E5D"/>
    <w:rsid w:val="00084DA8"/>
    <w:rsid w:val="00087904"/>
    <w:rsid w:val="000922D6"/>
    <w:rsid w:val="00095384"/>
    <w:rsid w:val="000955CD"/>
    <w:rsid w:val="0009775F"/>
    <w:rsid w:val="000A44B0"/>
    <w:rsid w:val="000C2EFC"/>
    <w:rsid w:val="000C6D61"/>
    <w:rsid w:val="000C6DCD"/>
    <w:rsid w:val="000C7B05"/>
    <w:rsid w:val="000D1127"/>
    <w:rsid w:val="000D162E"/>
    <w:rsid w:val="000D4CF7"/>
    <w:rsid w:val="000E1AF5"/>
    <w:rsid w:val="000E1EC3"/>
    <w:rsid w:val="000E45B9"/>
    <w:rsid w:val="000E607C"/>
    <w:rsid w:val="000E6C15"/>
    <w:rsid w:val="000F19A2"/>
    <w:rsid w:val="000F5321"/>
    <w:rsid w:val="000F69DB"/>
    <w:rsid w:val="001023F3"/>
    <w:rsid w:val="00104A41"/>
    <w:rsid w:val="001050BB"/>
    <w:rsid w:val="00106857"/>
    <w:rsid w:val="001148C6"/>
    <w:rsid w:val="001152E4"/>
    <w:rsid w:val="00116AE3"/>
    <w:rsid w:val="00122A76"/>
    <w:rsid w:val="00125196"/>
    <w:rsid w:val="00126D67"/>
    <w:rsid w:val="001431DC"/>
    <w:rsid w:val="001443C3"/>
    <w:rsid w:val="00144C96"/>
    <w:rsid w:val="001455D0"/>
    <w:rsid w:val="001665BB"/>
    <w:rsid w:val="00171FA0"/>
    <w:rsid w:val="001749A4"/>
    <w:rsid w:val="00180AAA"/>
    <w:rsid w:val="00181D61"/>
    <w:rsid w:val="00181EA4"/>
    <w:rsid w:val="00182155"/>
    <w:rsid w:val="00192500"/>
    <w:rsid w:val="00194DDB"/>
    <w:rsid w:val="001A0678"/>
    <w:rsid w:val="001A2473"/>
    <w:rsid w:val="001A71A4"/>
    <w:rsid w:val="001B12A8"/>
    <w:rsid w:val="001B24F0"/>
    <w:rsid w:val="001B406F"/>
    <w:rsid w:val="001B46F4"/>
    <w:rsid w:val="001B514B"/>
    <w:rsid w:val="001B51B2"/>
    <w:rsid w:val="001B65E7"/>
    <w:rsid w:val="001B7C56"/>
    <w:rsid w:val="001C0B5F"/>
    <w:rsid w:val="001C116C"/>
    <w:rsid w:val="001C4465"/>
    <w:rsid w:val="001C515F"/>
    <w:rsid w:val="001C567B"/>
    <w:rsid w:val="001E395F"/>
    <w:rsid w:val="001E3C8C"/>
    <w:rsid w:val="001F29B4"/>
    <w:rsid w:val="001F5321"/>
    <w:rsid w:val="00200257"/>
    <w:rsid w:val="00203614"/>
    <w:rsid w:val="00205594"/>
    <w:rsid w:val="002178D5"/>
    <w:rsid w:val="002255ED"/>
    <w:rsid w:val="00225E9E"/>
    <w:rsid w:val="00233836"/>
    <w:rsid w:val="002363F9"/>
    <w:rsid w:val="002402C0"/>
    <w:rsid w:val="00241E95"/>
    <w:rsid w:val="00241F0F"/>
    <w:rsid w:val="00244324"/>
    <w:rsid w:val="00244A9B"/>
    <w:rsid w:val="0024687F"/>
    <w:rsid w:val="00251C01"/>
    <w:rsid w:val="0026459A"/>
    <w:rsid w:val="00274584"/>
    <w:rsid w:val="00274F81"/>
    <w:rsid w:val="00276565"/>
    <w:rsid w:val="00281702"/>
    <w:rsid w:val="0028259C"/>
    <w:rsid w:val="00287051"/>
    <w:rsid w:val="0029203D"/>
    <w:rsid w:val="00292AFC"/>
    <w:rsid w:val="002956C5"/>
    <w:rsid w:val="00295C3A"/>
    <w:rsid w:val="002A183B"/>
    <w:rsid w:val="002B1F6F"/>
    <w:rsid w:val="002B48C5"/>
    <w:rsid w:val="002C3979"/>
    <w:rsid w:val="002C7E45"/>
    <w:rsid w:val="002D1B7D"/>
    <w:rsid w:val="002D3BCA"/>
    <w:rsid w:val="002D47C1"/>
    <w:rsid w:val="002D5937"/>
    <w:rsid w:val="002E437E"/>
    <w:rsid w:val="002E498A"/>
    <w:rsid w:val="002E520F"/>
    <w:rsid w:val="002F2384"/>
    <w:rsid w:val="002F459B"/>
    <w:rsid w:val="002F62F3"/>
    <w:rsid w:val="002F7C55"/>
    <w:rsid w:val="00300D05"/>
    <w:rsid w:val="003018A9"/>
    <w:rsid w:val="00304A3F"/>
    <w:rsid w:val="003051CE"/>
    <w:rsid w:val="00305F10"/>
    <w:rsid w:val="0030606C"/>
    <w:rsid w:val="003102C3"/>
    <w:rsid w:val="003108AD"/>
    <w:rsid w:val="003153C6"/>
    <w:rsid w:val="00315B3A"/>
    <w:rsid w:val="003236C4"/>
    <w:rsid w:val="003275E5"/>
    <w:rsid w:val="003357EF"/>
    <w:rsid w:val="00342098"/>
    <w:rsid w:val="00342B57"/>
    <w:rsid w:val="00345E4B"/>
    <w:rsid w:val="003460FD"/>
    <w:rsid w:val="00346C0C"/>
    <w:rsid w:val="003625D1"/>
    <w:rsid w:val="00363D8C"/>
    <w:rsid w:val="00366BFB"/>
    <w:rsid w:val="00370F44"/>
    <w:rsid w:val="00373D9E"/>
    <w:rsid w:val="00374D29"/>
    <w:rsid w:val="00383D1A"/>
    <w:rsid w:val="00386654"/>
    <w:rsid w:val="00390826"/>
    <w:rsid w:val="003910F8"/>
    <w:rsid w:val="00392B99"/>
    <w:rsid w:val="003955AA"/>
    <w:rsid w:val="003A287D"/>
    <w:rsid w:val="003A5576"/>
    <w:rsid w:val="003A590A"/>
    <w:rsid w:val="003B1B86"/>
    <w:rsid w:val="003B476D"/>
    <w:rsid w:val="003B4FE2"/>
    <w:rsid w:val="003B61BD"/>
    <w:rsid w:val="003C55DC"/>
    <w:rsid w:val="003D2B54"/>
    <w:rsid w:val="003D3143"/>
    <w:rsid w:val="003D70E8"/>
    <w:rsid w:val="003E06BD"/>
    <w:rsid w:val="003E37E6"/>
    <w:rsid w:val="003E481D"/>
    <w:rsid w:val="003E5C66"/>
    <w:rsid w:val="003E792F"/>
    <w:rsid w:val="003E7F8E"/>
    <w:rsid w:val="00402A47"/>
    <w:rsid w:val="00407A04"/>
    <w:rsid w:val="00407ACA"/>
    <w:rsid w:val="00410BCD"/>
    <w:rsid w:val="00413D90"/>
    <w:rsid w:val="00421A47"/>
    <w:rsid w:val="00423402"/>
    <w:rsid w:val="00424856"/>
    <w:rsid w:val="00425AA7"/>
    <w:rsid w:val="004271C1"/>
    <w:rsid w:val="004337B4"/>
    <w:rsid w:val="00440BC3"/>
    <w:rsid w:val="0044374E"/>
    <w:rsid w:val="00446F70"/>
    <w:rsid w:val="00451D40"/>
    <w:rsid w:val="00460810"/>
    <w:rsid w:val="00467534"/>
    <w:rsid w:val="004765DF"/>
    <w:rsid w:val="004822CC"/>
    <w:rsid w:val="00487A85"/>
    <w:rsid w:val="004A17E7"/>
    <w:rsid w:val="004B5B90"/>
    <w:rsid w:val="004C18F8"/>
    <w:rsid w:val="004C5EAD"/>
    <w:rsid w:val="004C611A"/>
    <w:rsid w:val="004D4050"/>
    <w:rsid w:val="004D5410"/>
    <w:rsid w:val="004D5AEB"/>
    <w:rsid w:val="004D62E0"/>
    <w:rsid w:val="004D7EBE"/>
    <w:rsid w:val="004E0B3E"/>
    <w:rsid w:val="004E31DF"/>
    <w:rsid w:val="004E7408"/>
    <w:rsid w:val="004F488D"/>
    <w:rsid w:val="004F7162"/>
    <w:rsid w:val="00502DED"/>
    <w:rsid w:val="00503EFD"/>
    <w:rsid w:val="00504F1E"/>
    <w:rsid w:val="00506922"/>
    <w:rsid w:val="005114F0"/>
    <w:rsid w:val="00514005"/>
    <w:rsid w:val="00515D4D"/>
    <w:rsid w:val="00521FA2"/>
    <w:rsid w:val="00527A41"/>
    <w:rsid w:val="005319C5"/>
    <w:rsid w:val="005351DC"/>
    <w:rsid w:val="0053634F"/>
    <w:rsid w:val="005422E4"/>
    <w:rsid w:val="00542B46"/>
    <w:rsid w:val="005432AD"/>
    <w:rsid w:val="00544E53"/>
    <w:rsid w:val="00551FCE"/>
    <w:rsid w:val="00552ABD"/>
    <w:rsid w:val="0055465D"/>
    <w:rsid w:val="00555348"/>
    <w:rsid w:val="0055732E"/>
    <w:rsid w:val="005637B4"/>
    <w:rsid w:val="00586503"/>
    <w:rsid w:val="00592330"/>
    <w:rsid w:val="005A0C07"/>
    <w:rsid w:val="005A10D5"/>
    <w:rsid w:val="005A449E"/>
    <w:rsid w:val="005A5939"/>
    <w:rsid w:val="005A6585"/>
    <w:rsid w:val="005B0487"/>
    <w:rsid w:val="005B59F5"/>
    <w:rsid w:val="005C04FF"/>
    <w:rsid w:val="005C6294"/>
    <w:rsid w:val="005D165C"/>
    <w:rsid w:val="005D6041"/>
    <w:rsid w:val="005F15A5"/>
    <w:rsid w:val="005F573C"/>
    <w:rsid w:val="005F5F18"/>
    <w:rsid w:val="0060296D"/>
    <w:rsid w:val="00603823"/>
    <w:rsid w:val="0061254D"/>
    <w:rsid w:val="0061371A"/>
    <w:rsid w:val="00614F62"/>
    <w:rsid w:val="00615413"/>
    <w:rsid w:val="006172B6"/>
    <w:rsid w:val="00617799"/>
    <w:rsid w:val="0062030E"/>
    <w:rsid w:val="00621F20"/>
    <w:rsid w:val="0063264C"/>
    <w:rsid w:val="006355FC"/>
    <w:rsid w:val="00635F3D"/>
    <w:rsid w:val="006403B1"/>
    <w:rsid w:val="00641CA5"/>
    <w:rsid w:val="0064567D"/>
    <w:rsid w:val="00646D9B"/>
    <w:rsid w:val="006558EA"/>
    <w:rsid w:val="00664151"/>
    <w:rsid w:val="00667F0E"/>
    <w:rsid w:val="00672F0E"/>
    <w:rsid w:val="00687F66"/>
    <w:rsid w:val="0069371C"/>
    <w:rsid w:val="006A336A"/>
    <w:rsid w:val="006C4789"/>
    <w:rsid w:val="006C6888"/>
    <w:rsid w:val="006D40D8"/>
    <w:rsid w:val="006D4950"/>
    <w:rsid w:val="006D4D31"/>
    <w:rsid w:val="006D68EF"/>
    <w:rsid w:val="006D6C8E"/>
    <w:rsid w:val="006F0D8D"/>
    <w:rsid w:val="006F1953"/>
    <w:rsid w:val="006F2285"/>
    <w:rsid w:val="006F3D0E"/>
    <w:rsid w:val="00701BC0"/>
    <w:rsid w:val="00703E30"/>
    <w:rsid w:val="007049C4"/>
    <w:rsid w:val="00710FF3"/>
    <w:rsid w:val="00711190"/>
    <w:rsid w:val="00716190"/>
    <w:rsid w:val="00724148"/>
    <w:rsid w:val="00724B70"/>
    <w:rsid w:val="00727933"/>
    <w:rsid w:val="00732881"/>
    <w:rsid w:val="00732EFF"/>
    <w:rsid w:val="007351DA"/>
    <w:rsid w:val="00741F7B"/>
    <w:rsid w:val="007500EB"/>
    <w:rsid w:val="0075056F"/>
    <w:rsid w:val="0075078D"/>
    <w:rsid w:val="00751F2C"/>
    <w:rsid w:val="0075453C"/>
    <w:rsid w:val="00757787"/>
    <w:rsid w:val="00757842"/>
    <w:rsid w:val="00766325"/>
    <w:rsid w:val="00771157"/>
    <w:rsid w:val="00773ADD"/>
    <w:rsid w:val="007749FF"/>
    <w:rsid w:val="00774A8C"/>
    <w:rsid w:val="007752A8"/>
    <w:rsid w:val="00781570"/>
    <w:rsid w:val="0078225F"/>
    <w:rsid w:val="007879E2"/>
    <w:rsid w:val="007915A3"/>
    <w:rsid w:val="00793FEA"/>
    <w:rsid w:val="007956FA"/>
    <w:rsid w:val="00796422"/>
    <w:rsid w:val="007A437B"/>
    <w:rsid w:val="007B16DF"/>
    <w:rsid w:val="007B5E0A"/>
    <w:rsid w:val="007C1EC2"/>
    <w:rsid w:val="007C236F"/>
    <w:rsid w:val="007C465F"/>
    <w:rsid w:val="007C7662"/>
    <w:rsid w:val="007D18B6"/>
    <w:rsid w:val="007D4CE4"/>
    <w:rsid w:val="007D611E"/>
    <w:rsid w:val="007E0BE9"/>
    <w:rsid w:val="007E18B2"/>
    <w:rsid w:val="007E1EED"/>
    <w:rsid w:val="007E5578"/>
    <w:rsid w:val="007E60E8"/>
    <w:rsid w:val="007E7108"/>
    <w:rsid w:val="00800324"/>
    <w:rsid w:val="00801C20"/>
    <w:rsid w:val="008023AC"/>
    <w:rsid w:val="008035AA"/>
    <w:rsid w:val="0080418A"/>
    <w:rsid w:val="00804507"/>
    <w:rsid w:val="0081274B"/>
    <w:rsid w:val="00813228"/>
    <w:rsid w:val="00815A36"/>
    <w:rsid w:val="00817C84"/>
    <w:rsid w:val="0082204A"/>
    <w:rsid w:val="00823BC7"/>
    <w:rsid w:val="008326F6"/>
    <w:rsid w:val="0083547B"/>
    <w:rsid w:val="00837C71"/>
    <w:rsid w:val="00840467"/>
    <w:rsid w:val="008412FF"/>
    <w:rsid w:val="008420B8"/>
    <w:rsid w:val="0084361C"/>
    <w:rsid w:val="00844234"/>
    <w:rsid w:val="00844FE5"/>
    <w:rsid w:val="0085061E"/>
    <w:rsid w:val="00850640"/>
    <w:rsid w:val="008533B7"/>
    <w:rsid w:val="00853DA0"/>
    <w:rsid w:val="008579A1"/>
    <w:rsid w:val="00864355"/>
    <w:rsid w:val="00864F88"/>
    <w:rsid w:val="008651D4"/>
    <w:rsid w:val="008760FF"/>
    <w:rsid w:val="008772D0"/>
    <w:rsid w:val="00887E43"/>
    <w:rsid w:val="00891552"/>
    <w:rsid w:val="00892F80"/>
    <w:rsid w:val="008A08A0"/>
    <w:rsid w:val="008A4C83"/>
    <w:rsid w:val="008A4F40"/>
    <w:rsid w:val="008A583E"/>
    <w:rsid w:val="008A65AD"/>
    <w:rsid w:val="008A6E34"/>
    <w:rsid w:val="008A70B0"/>
    <w:rsid w:val="008A734C"/>
    <w:rsid w:val="008B4B2B"/>
    <w:rsid w:val="008B7591"/>
    <w:rsid w:val="008C0D71"/>
    <w:rsid w:val="008C6A02"/>
    <w:rsid w:val="008C7D23"/>
    <w:rsid w:val="008D06FF"/>
    <w:rsid w:val="008D3986"/>
    <w:rsid w:val="008D39BE"/>
    <w:rsid w:val="008E2F78"/>
    <w:rsid w:val="008E5B9E"/>
    <w:rsid w:val="008F0DA6"/>
    <w:rsid w:val="008F4C36"/>
    <w:rsid w:val="008F662E"/>
    <w:rsid w:val="008F6A13"/>
    <w:rsid w:val="009059FB"/>
    <w:rsid w:val="009110E8"/>
    <w:rsid w:val="009142E3"/>
    <w:rsid w:val="00920889"/>
    <w:rsid w:val="009228EE"/>
    <w:rsid w:val="00923562"/>
    <w:rsid w:val="00923651"/>
    <w:rsid w:val="00926479"/>
    <w:rsid w:val="00926A0C"/>
    <w:rsid w:val="00935B54"/>
    <w:rsid w:val="00936B75"/>
    <w:rsid w:val="00941C01"/>
    <w:rsid w:val="00942485"/>
    <w:rsid w:val="0094311C"/>
    <w:rsid w:val="00944963"/>
    <w:rsid w:val="00946530"/>
    <w:rsid w:val="00954505"/>
    <w:rsid w:val="00957059"/>
    <w:rsid w:val="009570AD"/>
    <w:rsid w:val="00957448"/>
    <w:rsid w:val="009612CB"/>
    <w:rsid w:val="009622F6"/>
    <w:rsid w:val="00965650"/>
    <w:rsid w:val="00966F63"/>
    <w:rsid w:val="0097318C"/>
    <w:rsid w:val="009735FA"/>
    <w:rsid w:val="00980163"/>
    <w:rsid w:val="009919AC"/>
    <w:rsid w:val="009A06E1"/>
    <w:rsid w:val="009A1332"/>
    <w:rsid w:val="009A557C"/>
    <w:rsid w:val="009B06C8"/>
    <w:rsid w:val="009C225D"/>
    <w:rsid w:val="009D688C"/>
    <w:rsid w:val="009D7FC1"/>
    <w:rsid w:val="009E024C"/>
    <w:rsid w:val="00A01B39"/>
    <w:rsid w:val="00A069F4"/>
    <w:rsid w:val="00A1101F"/>
    <w:rsid w:val="00A15245"/>
    <w:rsid w:val="00A20D65"/>
    <w:rsid w:val="00A26F7D"/>
    <w:rsid w:val="00A31ED5"/>
    <w:rsid w:val="00A3786F"/>
    <w:rsid w:val="00A43E39"/>
    <w:rsid w:val="00A53EB8"/>
    <w:rsid w:val="00A5435F"/>
    <w:rsid w:val="00A56A27"/>
    <w:rsid w:val="00A60816"/>
    <w:rsid w:val="00A6173C"/>
    <w:rsid w:val="00A648DB"/>
    <w:rsid w:val="00A66980"/>
    <w:rsid w:val="00A77A84"/>
    <w:rsid w:val="00A86370"/>
    <w:rsid w:val="00A96571"/>
    <w:rsid w:val="00AA1184"/>
    <w:rsid w:val="00AA3E79"/>
    <w:rsid w:val="00AB0518"/>
    <w:rsid w:val="00AC3CC3"/>
    <w:rsid w:val="00AC4FD4"/>
    <w:rsid w:val="00AC57FB"/>
    <w:rsid w:val="00AC66DF"/>
    <w:rsid w:val="00AD2716"/>
    <w:rsid w:val="00AD3EAB"/>
    <w:rsid w:val="00AD7660"/>
    <w:rsid w:val="00AE659F"/>
    <w:rsid w:val="00AF0A7C"/>
    <w:rsid w:val="00AF1EC5"/>
    <w:rsid w:val="00AF51A8"/>
    <w:rsid w:val="00AF68B9"/>
    <w:rsid w:val="00AF79C7"/>
    <w:rsid w:val="00B0460C"/>
    <w:rsid w:val="00B110D5"/>
    <w:rsid w:val="00B14589"/>
    <w:rsid w:val="00B2130E"/>
    <w:rsid w:val="00B23E15"/>
    <w:rsid w:val="00B37EB1"/>
    <w:rsid w:val="00B40722"/>
    <w:rsid w:val="00B411BA"/>
    <w:rsid w:val="00B441C7"/>
    <w:rsid w:val="00B578D7"/>
    <w:rsid w:val="00B63AA7"/>
    <w:rsid w:val="00B664EF"/>
    <w:rsid w:val="00B70491"/>
    <w:rsid w:val="00B7102A"/>
    <w:rsid w:val="00B71A66"/>
    <w:rsid w:val="00B73990"/>
    <w:rsid w:val="00B74ED6"/>
    <w:rsid w:val="00B75115"/>
    <w:rsid w:val="00B80B6F"/>
    <w:rsid w:val="00B85459"/>
    <w:rsid w:val="00B933E5"/>
    <w:rsid w:val="00B93A30"/>
    <w:rsid w:val="00BA0F62"/>
    <w:rsid w:val="00BA567D"/>
    <w:rsid w:val="00BA5820"/>
    <w:rsid w:val="00BB3A14"/>
    <w:rsid w:val="00BC30BB"/>
    <w:rsid w:val="00BC48B3"/>
    <w:rsid w:val="00BC6044"/>
    <w:rsid w:val="00BD1ED3"/>
    <w:rsid w:val="00BE02E6"/>
    <w:rsid w:val="00BE2A12"/>
    <w:rsid w:val="00BE393C"/>
    <w:rsid w:val="00BE3D62"/>
    <w:rsid w:val="00BE5644"/>
    <w:rsid w:val="00BF22AC"/>
    <w:rsid w:val="00C013AE"/>
    <w:rsid w:val="00C0332E"/>
    <w:rsid w:val="00C04E4B"/>
    <w:rsid w:val="00C0725F"/>
    <w:rsid w:val="00C07FD9"/>
    <w:rsid w:val="00C110F5"/>
    <w:rsid w:val="00C16225"/>
    <w:rsid w:val="00C229C2"/>
    <w:rsid w:val="00C355C3"/>
    <w:rsid w:val="00C45D19"/>
    <w:rsid w:val="00C45D55"/>
    <w:rsid w:val="00C518A3"/>
    <w:rsid w:val="00C55847"/>
    <w:rsid w:val="00C56E81"/>
    <w:rsid w:val="00C57808"/>
    <w:rsid w:val="00C60A8B"/>
    <w:rsid w:val="00C6268B"/>
    <w:rsid w:val="00C65969"/>
    <w:rsid w:val="00C703E7"/>
    <w:rsid w:val="00C764A3"/>
    <w:rsid w:val="00C80CA1"/>
    <w:rsid w:val="00C83BE8"/>
    <w:rsid w:val="00C84B96"/>
    <w:rsid w:val="00C906C1"/>
    <w:rsid w:val="00C91168"/>
    <w:rsid w:val="00C94F2B"/>
    <w:rsid w:val="00CA107C"/>
    <w:rsid w:val="00CA17F0"/>
    <w:rsid w:val="00CA4ED9"/>
    <w:rsid w:val="00CA5772"/>
    <w:rsid w:val="00CA5AC6"/>
    <w:rsid w:val="00CB07A7"/>
    <w:rsid w:val="00CB2286"/>
    <w:rsid w:val="00CC27B4"/>
    <w:rsid w:val="00CC3D5A"/>
    <w:rsid w:val="00CC5103"/>
    <w:rsid w:val="00CC68D6"/>
    <w:rsid w:val="00CC784D"/>
    <w:rsid w:val="00CD4788"/>
    <w:rsid w:val="00CD4969"/>
    <w:rsid w:val="00CD5440"/>
    <w:rsid w:val="00CF4EB6"/>
    <w:rsid w:val="00CF52F8"/>
    <w:rsid w:val="00CF6242"/>
    <w:rsid w:val="00D02959"/>
    <w:rsid w:val="00D02C1F"/>
    <w:rsid w:val="00D0518F"/>
    <w:rsid w:val="00D11045"/>
    <w:rsid w:val="00D12983"/>
    <w:rsid w:val="00D15839"/>
    <w:rsid w:val="00D16B69"/>
    <w:rsid w:val="00D16C98"/>
    <w:rsid w:val="00D17EB5"/>
    <w:rsid w:val="00D25884"/>
    <w:rsid w:val="00D25C3E"/>
    <w:rsid w:val="00D30D85"/>
    <w:rsid w:val="00D3520E"/>
    <w:rsid w:val="00D36D04"/>
    <w:rsid w:val="00D3718E"/>
    <w:rsid w:val="00D50172"/>
    <w:rsid w:val="00D5519A"/>
    <w:rsid w:val="00D62D5A"/>
    <w:rsid w:val="00D6675E"/>
    <w:rsid w:val="00D67D72"/>
    <w:rsid w:val="00D710A2"/>
    <w:rsid w:val="00D74828"/>
    <w:rsid w:val="00D80130"/>
    <w:rsid w:val="00D80578"/>
    <w:rsid w:val="00D81AC1"/>
    <w:rsid w:val="00D83C72"/>
    <w:rsid w:val="00D86A96"/>
    <w:rsid w:val="00D86D17"/>
    <w:rsid w:val="00D87E98"/>
    <w:rsid w:val="00D951FC"/>
    <w:rsid w:val="00DA414F"/>
    <w:rsid w:val="00DA5BDA"/>
    <w:rsid w:val="00DA75F3"/>
    <w:rsid w:val="00DB2BBD"/>
    <w:rsid w:val="00DB5FFA"/>
    <w:rsid w:val="00DC3574"/>
    <w:rsid w:val="00DC6D90"/>
    <w:rsid w:val="00DD754B"/>
    <w:rsid w:val="00DE30B0"/>
    <w:rsid w:val="00DE5FB3"/>
    <w:rsid w:val="00DF1F80"/>
    <w:rsid w:val="00DF2209"/>
    <w:rsid w:val="00DF237F"/>
    <w:rsid w:val="00DF4D21"/>
    <w:rsid w:val="00E00032"/>
    <w:rsid w:val="00E029A0"/>
    <w:rsid w:val="00E05CC3"/>
    <w:rsid w:val="00E11DD7"/>
    <w:rsid w:val="00E21437"/>
    <w:rsid w:val="00E333F6"/>
    <w:rsid w:val="00E34B4C"/>
    <w:rsid w:val="00E409D8"/>
    <w:rsid w:val="00E450A6"/>
    <w:rsid w:val="00E46453"/>
    <w:rsid w:val="00E543D3"/>
    <w:rsid w:val="00E604CE"/>
    <w:rsid w:val="00E65059"/>
    <w:rsid w:val="00E660E3"/>
    <w:rsid w:val="00E66A17"/>
    <w:rsid w:val="00E6718F"/>
    <w:rsid w:val="00E700ED"/>
    <w:rsid w:val="00E73B3A"/>
    <w:rsid w:val="00E73EB8"/>
    <w:rsid w:val="00E75F30"/>
    <w:rsid w:val="00E760D1"/>
    <w:rsid w:val="00E76388"/>
    <w:rsid w:val="00E77AC1"/>
    <w:rsid w:val="00E77D05"/>
    <w:rsid w:val="00E82811"/>
    <w:rsid w:val="00E8289F"/>
    <w:rsid w:val="00E831FB"/>
    <w:rsid w:val="00E8387E"/>
    <w:rsid w:val="00E95631"/>
    <w:rsid w:val="00EA4592"/>
    <w:rsid w:val="00EA5E68"/>
    <w:rsid w:val="00EA7A55"/>
    <w:rsid w:val="00EB002E"/>
    <w:rsid w:val="00EB04C3"/>
    <w:rsid w:val="00EB10D3"/>
    <w:rsid w:val="00EB65ED"/>
    <w:rsid w:val="00EB7BA7"/>
    <w:rsid w:val="00ED3660"/>
    <w:rsid w:val="00ED3D9E"/>
    <w:rsid w:val="00ED5015"/>
    <w:rsid w:val="00ED5CBE"/>
    <w:rsid w:val="00ED5E7E"/>
    <w:rsid w:val="00ED65F9"/>
    <w:rsid w:val="00EE1C53"/>
    <w:rsid w:val="00EE3161"/>
    <w:rsid w:val="00EE5160"/>
    <w:rsid w:val="00EF060B"/>
    <w:rsid w:val="00EF0854"/>
    <w:rsid w:val="00EF1E66"/>
    <w:rsid w:val="00EF368F"/>
    <w:rsid w:val="00EF694E"/>
    <w:rsid w:val="00EF73CE"/>
    <w:rsid w:val="00F043F3"/>
    <w:rsid w:val="00F057BD"/>
    <w:rsid w:val="00F067E0"/>
    <w:rsid w:val="00F06F15"/>
    <w:rsid w:val="00F11289"/>
    <w:rsid w:val="00F13B0B"/>
    <w:rsid w:val="00F1642E"/>
    <w:rsid w:val="00F20727"/>
    <w:rsid w:val="00F36F0F"/>
    <w:rsid w:val="00F4038E"/>
    <w:rsid w:val="00F42733"/>
    <w:rsid w:val="00F42863"/>
    <w:rsid w:val="00F444FC"/>
    <w:rsid w:val="00F554BA"/>
    <w:rsid w:val="00F57D63"/>
    <w:rsid w:val="00F60187"/>
    <w:rsid w:val="00F61AFD"/>
    <w:rsid w:val="00F623A4"/>
    <w:rsid w:val="00F64914"/>
    <w:rsid w:val="00F66186"/>
    <w:rsid w:val="00F70572"/>
    <w:rsid w:val="00F752DD"/>
    <w:rsid w:val="00F8013C"/>
    <w:rsid w:val="00F848A2"/>
    <w:rsid w:val="00F862FE"/>
    <w:rsid w:val="00FA0610"/>
    <w:rsid w:val="00FA0DED"/>
    <w:rsid w:val="00FA3456"/>
    <w:rsid w:val="00FA4446"/>
    <w:rsid w:val="00FA5868"/>
    <w:rsid w:val="00FA712C"/>
    <w:rsid w:val="00FB0931"/>
    <w:rsid w:val="00FB1264"/>
    <w:rsid w:val="00FB3355"/>
    <w:rsid w:val="00FB3F82"/>
    <w:rsid w:val="00FB5C3F"/>
    <w:rsid w:val="00FC0BDB"/>
    <w:rsid w:val="00FC2BDC"/>
    <w:rsid w:val="00FC4D2E"/>
    <w:rsid w:val="00FC7596"/>
    <w:rsid w:val="00FD4748"/>
    <w:rsid w:val="00FD4B26"/>
    <w:rsid w:val="00FD7E89"/>
    <w:rsid w:val="00FF0C6D"/>
    <w:rsid w:val="00FF3048"/>
    <w:rsid w:val="00FF3194"/>
    <w:rsid w:val="02165D4F"/>
    <w:rsid w:val="02CE7D89"/>
    <w:rsid w:val="03947EC7"/>
    <w:rsid w:val="050414F1"/>
    <w:rsid w:val="060606D1"/>
    <w:rsid w:val="060E536D"/>
    <w:rsid w:val="06BD42F9"/>
    <w:rsid w:val="072B3BD8"/>
    <w:rsid w:val="07EA70C4"/>
    <w:rsid w:val="087B429B"/>
    <w:rsid w:val="09CF47C3"/>
    <w:rsid w:val="0A657C0E"/>
    <w:rsid w:val="0A7870BF"/>
    <w:rsid w:val="0B960256"/>
    <w:rsid w:val="0DBF4B4E"/>
    <w:rsid w:val="0E975183"/>
    <w:rsid w:val="0EAC6E7B"/>
    <w:rsid w:val="0F80697A"/>
    <w:rsid w:val="116A3FC2"/>
    <w:rsid w:val="127F665A"/>
    <w:rsid w:val="13BD568C"/>
    <w:rsid w:val="14690B3A"/>
    <w:rsid w:val="15366BFB"/>
    <w:rsid w:val="15E243D7"/>
    <w:rsid w:val="166B7621"/>
    <w:rsid w:val="1716637F"/>
    <w:rsid w:val="18D37EAF"/>
    <w:rsid w:val="1B5D4C6F"/>
    <w:rsid w:val="1B7B0307"/>
    <w:rsid w:val="1B7D6654"/>
    <w:rsid w:val="1C5F001E"/>
    <w:rsid w:val="1CBD494F"/>
    <w:rsid w:val="1CC91B24"/>
    <w:rsid w:val="1E0972D4"/>
    <w:rsid w:val="1E8F1B85"/>
    <w:rsid w:val="21075E3F"/>
    <w:rsid w:val="21630FE4"/>
    <w:rsid w:val="23607DE2"/>
    <w:rsid w:val="269528E7"/>
    <w:rsid w:val="27741940"/>
    <w:rsid w:val="2808303D"/>
    <w:rsid w:val="2A697EC4"/>
    <w:rsid w:val="2CEB4BC0"/>
    <w:rsid w:val="2D665687"/>
    <w:rsid w:val="2DA07759"/>
    <w:rsid w:val="2F2D14C0"/>
    <w:rsid w:val="2F9D2124"/>
    <w:rsid w:val="32A001FB"/>
    <w:rsid w:val="34B55320"/>
    <w:rsid w:val="363E2205"/>
    <w:rsid w:val="379C086E"/>
    <w:rsid w:val="38724874"/>
    <w:rsid w:val="39AA148D"/>
    <w:rsid w:val="3A1E073A"/>
    <w:rsid w:val="3B8B1445"/>
    <w:rsid w:val="3CF4403F"/>
    <w:rsid w:val="3D462DD9"/>
    <w:rsid w:val="3EA25F93"/>
    <w:rsid w:val="40DE6ABE"/>
    <w:rsid w:val="420D22EF"/>
    <w:rsid w:val="42AE49D4"/>
    <w:rsid w:val="43CC3C8F"/>
    <w:rsid w:val="43D85A10"/>
    <w:rsid w:val="45EE4809"/>
    <w:rsid w:val="46367526"/>
    <w:rsid w:val="46984EC4"/>
    <w:rsid w:val="46E848ED"/>
    <w:rsid w:val="46F52E80"/>
    <w:rsid w:val="4B884B6E"/>
    <w:rsid w:val="4BC23B13"/>
    <w:rsid w:val="4C343123"/>
    <w:rsid w:val="4CAD62EA"/>
    <w:rsid w:val="4D16602A"/>
    <w:rsid w:val="4DA9584B"/>
    <w:rsid w:val="4E5B0029"/>
    <w:rsid w:val="4F955A57"/>
    <w:rsid w:val="51066619"/>
    <w:rsid w:val="52E973AE"/>
    <w:rsid w:val="52FC7D7D"/>
    <w:rsid w:val="547075D6"/>
    <w:rsid w:val="556E00CC"/>
    <w:rsid w:val="567710EF"/>
    <w:rsid w:val="56ED3178"/>
    <w:rsid w:val="575D67A5"/>
    <w:rsid w:val="57AB59B5"/>
    <w:rsid w:val="5838331A"/>
    <w:rsid w:val="58D06A3E"/>
    <w:rsid w:val="59B55095"/>
    <w:rsid w:val="59D814B5"/>
    <w:rsid w:val="5B452A8A"/>
    <w:rsid w:val="5B9A1BE1"/>
    <w:rsid w:val="5C031B76"/>
    <w:rsid w:val="5C3655A9"/>
    <w:rsid w:val="5C3929A3"/>
    <w:rsid w:val="5CEC2800"/>
    <w:rsid w:val="5D7F623B"/>
    <w:rsid w:val="5E382132"/>
    <w:rsid w:val="5F670741"/>
    <w:rsid w:val="60401DB2"/>
    <w:rsid w:val="61187474"/>
    <w:rsid w:val="62C71B03"/>
    <w:rsid w:val="62DE6052"/>
    <w:rsid w:val="63915304"/>
    <w:rsid w:val="65530086"/>
    <w:rsid w:val="65913850"/>
    <w:rsid w:val="65E67115"/>
    <w:rsid w:val="67DF4A5C"/>
    <w:rsid w:val="68DC365F"/>
    <w:rsid w:val="6CB17DF5"/>
    <w:rsid w:val="6D813249"/>
    <w:rsid w:val="6E4A06AA"/>
    <w:rsid w:val="6F9C746E"/>
    <w:rsid w:val="6FCA00D9"/>
    <w:rsid w:val="715E167E"/>
    <w:rsid w:val="71663F02"/>
    <w:rsid w:val="71AC6B50"/>
    <w:rsid w:val="71DD2304"/>
    <w:rsid w:val="71F96D06"/>
    <w:rsid w:val="74105558"/>
    <w:rsid w:val="744030F2"/>
    <w:rsid w:val="746A1E3C"/>
    <w:rsid w:val="75913A88"/>
    <w:rsid w:val="76282611"/>
    <w:rsid w:val="769504C8"/>
    <w:rsid w:val="7732180A"/>
    <w:rsid w:val="788F055B"/>
    <w:rsid w:val="79D47355"/>
    <w:rsid w:val="7ABD47DF"/>
    <w:rsid w:val="7BFC3723"/>
    <w:rsid w:val="7C266648"/>
    <w:rsid w:val="7CA145A6"/>
    <w:rsid w:val="7D6577F2"/>
    <w:rsid w:val="7D8469FA"/>
    <w:rsid w:val="7E5C0A47"/>
    <w:rsid w:val="7E8A21FE"/>
    <w:rsid w:val="7E9E177C"/>
    <w:rsid w:val="7EC21713"/>
    <w:rsid w:val="7F9445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link w:val="31"/>
    <w:qFormat/>
    <w:uiPriority w:val="9"/>
    <w:pPr>
      <w:keepNext/>
      <w:keepLines/>
      <w:spacing w:before="480"/>
      <w:outlineLvl w:val="0"/>
    </w:pPr>
    <w:rPr>
      <w:rFonts w:ascii="Cambria" w:hAnsi="Cambria" w:eastAsia="宋体" w:cs="Times New Roman"/>
      <w:b/>
      <w:bCs/>
      <w:color w:val="366091"/>
      <w:sz w:val="28"/>
      <w:szCs w:val="28"/>
    </w:rPr>
  </w:style>
  <w:style w:type="paragraph" w:styleId="4">
    <w:name w:val="heading 2"/>
    <w:basedOn w:val="1"/>
    <w:next w:val="1"/>
    <w:link w:val="32"/>
    <w:unhideWhenUsed/>
    <w:qFormat/>
    <w:uiPriority w:val="9"/>
    <w:pPr>
      <w:keepNext/>
      <w:keepLines/>
      <w:spacing w:before="200"/>
      <w:outlineLvl w:val="1"/>
    </w:pPr>
    <w:rPr>
      <w:rFonts w:ascii="Cambria" w:hAnsi="Cambria" w:eastAsia="宋体" w:cs="Times New Roman"/>
      <w:b/>
      <w:bCs/>
      <w:color w:val="4F81BD"/>
      <w:sz w:val="26"/>
      <w:szCs w:val="26"/>
    </w:rPr>
  </w:style>
  <w:style w:type="paragraph" w:styleId="5">
    <w:name w:val="heading 3"/>
    <w:basedOn w:val="1"/>
    <w:next w:val="1"/>
    <w:link w:val="33"/>
    <w:unhideWhenUsed/>
    <w:qFormat/>
    <w:uiPriority w:val="9"/>
    <w:pPr>
      <w:keepNext/>
      <w:keepLines/>
      <w:spacing w:before="200"/>
      <w:outlineLvl w:val="2"/>
    </w:pPr>
    <w:rPr>
      <w:rFonts w:ascii="Cambria" w:hAnsi="Cambria" w:eastAsia="宋体" w:cs="Times New Roman"/>
      <w:b/>
      <w:bCs/>
      <w:color w:val="4F81BD"/>
    </w:rPr>
  </w:style>
  <w:style w:type="paragraph" w:styleId="6">
    <w:name w:val="heading 4"/>
    <w:basedOn w:val="1"/>
    <w:next w:val="1"/>
    <w:link w:val="34"/>
    <w:unhideWhenUsed/>
    <w:qFormat/>
    <w:uiPriority w:val="9"/>
    <w:pPr>
      <w:keepNext/>
      <w:keepLines/>
      <w:spacing w:before="200"/>
      <w:outlineLvl w:val="3"/>
    </w:pPr>
    <w:rPr>
      <w:rFonts w:ascii="Cambria" w:hAnsi="Cambria" w:eastAsia="宋体" w:cs="Times New Roman"/>
      <w:b/>
      <w:bCs/>
      <w:i/>
      <w:iCs/>
      <w:color w:val="4F81BD"/>
    </w:rPr>
  </w:style>
  <w:style w:type="paragraph" w:styleId="7">
    <w:name w:val="heading 5"/>
    <w:basedOn w:val="1"/>
    <w:next w:val="1"/>
    <w:link w:val="35"/>
    <w:unhideWhenUsed/>
    <w:qFormat/>
    <w:uiPriority w:val="9"/>
    <w:pPr>
      <w:keepNext/>
      <w:keepLines/>
      <w:spacing w:before="200"/>
      <w:outlineLvl w:val="4"/>
    </w:pPr>
    <w:rPr>
      <w:rFonts w:ascii="Cambria" w:hAnsi="Cambria" w:eastAsia="宋体" w:cs="Times New Roman"/>
      <w:color w:val="244061"/>
    </w:rPr>
  </w:style>
  <w:style w:type="paragraph" w:styleId="8">
    <w:name w:val="heading 6"/>
    <w:basedOn w:val="1"/>
    <w:next w:val="1"/>
    <w:link w:val="36"/>
    <w:unhideWhenUsed/>
    <w:qFormat/>
    <w:uiPriority w:val="9"/>
    <w:pPr>
      <w:keepNext/>
      <w:keepLines/>
      <w:spacing w:before="200"/>
      <w:outlineLvl w:val="5"/>
    </w:pPr>
    <w:rPr>
      <w:rFonts w:ascii="Cambria" w:hAnsi="Cambria" w:eastAsia="宋体" w:cs="Times New Roman"/>
      <w:i/>
      <w:iCs/>
      <w:color w:val="244061"/>
    </w:rPr>
  </w:style>
  <w:style w:type="paragraph" w:styleId="9">
    <w:name w:val="heading 7"/>
    <w:basedOn w:val="1"/>
    <w:next w:val="1"/>
    <w:link w:val="37"/>
    <w:unhideWhenUsed/>
    <w:qFormat/>
    <w:uiPriority w:val="9"/>
    <w:pPr>
      <w:keepNext/>
      <w:keepLines/>
      <w:spacing w:before="200"/>
      <w:outlineLvl w:val="6"/>
    </w:pPr>
    <w:rPr>
      <w:rFonts w:ascii="Cambria" w:hAnsi="Cambria" w:eastAsia="宋体" w:cs="Times New Roman"/>
      <w:i/>
      <w:iCs/>
      <w:color w:val="3F3F3F"/>
    </w:rPr>
  </w:style>
  <w:style w:type="paragraph" w:styleId="10">
    <w:name w:val="heading 8"/>
    <w:basedOn w:val="1"/>
    <w:next w:val="1"/>
    <w:link w:val="38"/>
    <w:unhideWhenUsed/>
    <w:qFormat/>
    <w:uiPriority w:val="9"/>
    <w:pPr>
      <w:keepNext/>
      <w:keepLines/>
      <w:spacing w:before="200"/>
      <w:outlineLvl w:val="7"/>
    </w:pPr>
    <w:rPr>
      <w:rFonts w:ascii="Cambria" w:hAnsi="Cambria" w:eastAsia="宋体" w:cs="Times New Roman"/>
      <w:color w:val="4F81BD"/>
      <w:sz w:val="20"/>
      <w:szCs w:val="20"/>
    </w:rPr>
  </w:style>
  <w:style w:type="paragraph" w:styleId="11">
    <w:name w:val="heading 9"/>
    <w:basedOn w:val="1"/>
    <w:next w:val="1"/>
    <w:link w:val="39"/>
    <w:unhideWhenUsed/>
    <w:qFormat/>
    <w:uiPriority w:val="9"/>
    <w:pPr>
      <w:keepNext/>
      <w:keepLines/>
      <w:spacing w:before="200"/>
      <w:outlineLvl w:val="8"/>
    </w:pPr>
    <w:rPr>
      <w:rFonts w:ascii="Cambria" w:hAnsi="Cambria" w:eastAsia="宋体" w:cs="Times New Roman"/>
      <w:i/>
      <w:iCs/>
      <w:color w:val="3F3F3F"/>
      <w:sz w:val="20"/>
      <w:szCs w:val="20"/>
    </w:rPr>
  </w:style>
  <w:style w:type="character" w:default="1" w:styleId="25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/>
    </w:pPr>
    <w:rPr>
      <w:rFonts w:ascii="宋体" w:hAnsi="宋体"/>
      <w:color w:val="000000"/>
      <w:sz w:val="24"/>
    </w:rPr>
  </w:style>
  <w:style w:type="paragraph" w:styleId="12">
    <w:name w:val="caption"/>
    <w:basedOn w:val="1"/>
    <w:next w:val="1"/>
    <w:unhideWhenUsed/>
    <w:qFormat/>
    <w:uiPriority w:val="35"/>
    <w:pPr>
      <w:spacing w:line="240" w:lineRule="auto"/>
    </w:pPr>
    <w:rPr>
      <w:b/>
      <w:bCs/>
      <w:color w:val="4F81BD"/>
      <w:sz w:val="18"/>
      <w:szCs w:val="18"/>
    </w:rPr>
  </w:style>
  <w:style w:type="paragraph" w:styleId="13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Cs w:val="24"/>
      <w:lang w:bidi="gu-IN"/>
    </w:rPr>
  </w:style>
  <w:style w:type="paragraph" w:styleId="14">
    <w:name w:val="annotation text"/>
    <w:basedOn w:val="1"/>
    <w:link w:val="40"/>
    <w:unhideWhenUsed/>
    <w:qFormat/>
    <w:uiPriority w:val="99"/>
  </w:style>
  <w:style w:type="paragraph" w:styleId="15">
    <w:name w:val="endnote text"/>
    <w:basedOn w:val="1"/>
    <w:link w:val="41"/>
    <w:unhideWhenUsed/>
    <w:qFormat/>
    <w:uiPriority w:val="99"/>
    <w:pPr>
      <w:snapToGrid w:val="0"/>
    </w:pPr>
  </w:style>
  <w:style w:type="paragraph" w:styleId="16">
    <w:name w:val="Balloon Text"/>
    <w:basedOn w:val="1"/>
    <w:link w:val="42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7">
    <w:name w:val="footer"/>
    <w:basedOn w:val="1"/>
    <w:link w:val="4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8">
    <w:name w:val="header"/>
    <w:basedOn w:val="1"/>
    <w:link w:val="4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9">
    <w:name w:val="Subtitle"/>
    <w:basedOn w:val="1"/>
    <w:next w:val="1"/>
    <w:link w:val="45"/>
    <w:qFormat/>
    <w:uiPriority w:val="11"/>
    <w:rPr>
      <w:rFonts w:ascii="Cambria" w:hAnsi="Cambria" w:eastAsia="宋体" w:cs="Times New Roman"/>
      <w:i/>
      <w:iCs/>
      <w:color w:val="4F81BD"/>
      <w:spacing w:val="15"/>
      <w:szCs w:val="24"/>
    </w:rPr>
  </w:style>
  <w:style w:type="paragraph" w:styleId="20">
    <w:name w:val="footnote text"/>
    <w:basedOn w:val="1"/>
    <w:link w:val="46"/>
    <w:unhideWhenUsed/>
    <w:qFormat/>
    <w:uiPriority w:val="99"/>
    <w:pPr>
      <w:snapToGrid w:val="0"/>
    </w:pPr>
    <w:rPr>
      <w:sz w:val="18"/>
      <w:szCs w:val="18"/>
    </w:rPr>
  </w:style>
  <w:style w:type="paragraph" w:styleId="21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2">
    <w:name w:val="Title"/>
    <w:basedOn w:val="1"/>
    <w:next w:val="1"/>
    <w:link w:val="47"/>
    <w:qFormat/>
    <w:uiPriority w:val="1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paragraph" w:styleId="23">
    <w:name w:val="annotation subject"/>
    <w:basedOn w:val="14"/>
    <w:next w:val="14"/>
    <w:link w:val="48"/>
    <w:unhideWhenUsed/>
    <w:qFormat/>
    <w:uiPriority w:val="99"/>
    <w:rPr>
      <w:b/>
      <w:bCs/>
    </w:rPr>
  </w:style>
  <w:style w:type="character" w:styleId="26">
    <w:name w:val="Strong"/>
    <w:basedOn w:val="25"/>
    <w:qFormat/>
    <w:uiPriority w:val="22"/>
    <w:rPr>
      <w:b/>
      <w:bCs/>
    </w:rPr>
  </w:style>
  <w:style w:type="character" w:styleId="27">
    <w:name w:val="endnote reference"/>
    <w:basedOn w:val="25"/>
    <w:unhideWhenUsed/>
    <w:qFormat/>
    <w:uiPriority w:val="99"/>
    <w:rPr>
      <w:vertAlign w:val="superscript"/>
    </w:rPr>
  </w:style>
  <w:style w:type="character" w:styleId="28">
    <w:name w:val="Emphasis"/>
    <w:basedOn w:val="25"/>
    <w:qFormat/>
    <w:uiPriority w:val="20"/>
    <w:rPr>
      <w:i/>
      <w:iCs/>
    </w:rPr>
  </w:style>
  <w:style w:type="character" w:styleId="29">
    <w:name w:val="annotation reference"/>
    <w:basedOn w:val="25"/>
    <w:unhideWhenUsed/>
    <w:qFormat/>
    <w:uiPriority w:val="99"/>
    <w:rPr>
      <w:sz w:val="21"/>
      <w:szCs w:val="21"/>
    </w:rPr>
  </w:style>
  <w:style w:type="character" w:styleId="30">
    <w:name w:val="footnote reference"/>
    <w:basedOn w:val="25"/>
    <w:unhideWhenUsed/>
    <w:qFormat/>
    <w:uiPriority w:val="99"/>
    <w:rPr>
      <w:vertAlign w:val="superscript"/>
    </w:rPr>
  </w:style>
  <w:style w:type="character" w:customStyle="1" w:styleId="31">
    <w:name w:val="标题 1 字符"/>
    <w:basedOn w:val="25"/>
    <w:link w:val="3"/>
    <w:qFormat/>
    <w:uiPriority w:val="9"/>
    <w:rPr>
      <w:rFonts w:ascii="Cambria" w:hAnsi="Cambria" w:eastAsia="宋体" w:cs="Times New Roman"/>
      <w:b/>
      <w:bCs/>
      <w:color w:val="366091"/>
      <w:sz w:val="28"/>
      <w:szCs w:val="28"/>
    </w:rPr>
  </w:style>
  <w:style w:type="character" w:customStyle="1" w:styleId="32">
    <w:name w:val="标题 2 字符"/>
    <w:basedOn w:val="25"/>
    <w:link w:val="4"/>
    <w:qFormat/>
    <w:uiPriority w:val="9"/>
    <w:rPr>
      <w:rFonts w:ascii="Cambria" w:hAnsi="Cambria" w:eastAsia="宋体" w:cs="Times New Roman"/>
      <w:b/>
      <w:bCs/>
      <w:color w:val="4F81BD"/>
      <w:sz w:val="26"/>
      <w:szCs w:val="26"/>
    </w:rPr>
  </w:style>
  <w:style w:type="character" w:customStyle="1" w:styleId="33">
    <w:name w:val="标题 3 字符"/>
    <w:basedOn w:val="25"/>
    <w:link w:val="5"/>
    <w:semiHidden/>
    <w:qFormat/>
    <w:uiPriority w:val="9"/>
    <w:rPr>
      <w:rFonts w:ascii="Cambria" w:hAnsi="Cambria" w:eastAsia="宋体" w:cs="Times New Roman"/>
      <w:b/>
      <w:bCs/>
      <w:color w:val="4F81BD"/>
    </w:rPr>
  </w:style>
  <w:style w:type="character" w:customStyle="1" w:styleId="34">
    <w:name w:val="标题 4 字符"/>
    <w:basedOn w:val="25"/>
    <w:link w:val="6"/>
    <w:semiHidden/>
    <w:qFormat/>
    <w:uiPriority w:val="9"/>
    <w:rPr>
      <w:rFonts w:ascii="Cambria" w:hAnsi="Cambria" w:eastAsia="宋体" w:cs="Times New Roman"/>
      <w:b/>
      <w:bCs/>
      <w:i/>
      <w:iCs/>
      <w:color w:val="4F81BD"/>
    </w:rPr>
  </w:style>
  <w:style w:type="character" w:customStyle="1" w:styleId="35">
    <w:name w:val="标题 5 字符"/>
    <w:basedOn w:val="25"/>
    <w:link w:val="7"/>
    <w:semiHidden/>
    <w:qFormat/>
    <w:uiPriority w:val="9"/>
    <w:rPr>
      <w:rFonts w:ascii="Cambria" w:hAnsi="Cambria" w:eastAsia="宋体" w:cs="Times New Roman"/>
      <w:color w:val="244061"/>
    </w:rPr>
  </w:style>
  <w:style w:type="character" w:customStyle="1" w:styleId="36">
    <w:name w:val="标题 6 字符"/>
    <w:basedOn w:val="25"/>
    <w:link w:val="8"/>
    <w:semiHidden/>
    <w:qFormat/>
    <w:uiPriority w:val="9"/>
    <w:rPr>
      <w:rFonts w:ascii="Cambria" w:hAnsi="Cambria" w:eastAsia="宋体" w:cs="Times New Roman"/>
      <w:i/>
      <w:iCs/>
      <w:color w:val="244061"/>
    </w:rPr>
  </w:style>
  <w:style w:type="character" w:customStyle="1" w:styleId="37">
    <w:name w:val="标题 7 字符"/>
    <w:basedOn w:val="25"/>
    <w:link w:val="9"/>
    <w:semiHidden/>
    <w:qFormat/>
    <w:uiPriority w:val="9"/>
    <w:rPr>
      <w:rFonts w:ascii="Cambria" w:hAnsi="Cambria" w:eastAsia="宋体" w:cs="Times New Roman"/>
      <w:i/>
      <w:iCs/>
      <w:color w:val="3F3F3F"/>
    </w:rPr>
  </w:style>
  <w:style w:type="character" w:customStyle="1" w:styleId="38">
    <w:name w:val="标题 8 字符"/>
    <w:basedOn w:val="25"/>
    <w:link w:val="10"/>
    <w:semiHidden/>
    <w:qFormat/>
    <w:uiPriority w:val="9"/>
    <w:rPr>
      <w:rFonts w:ascii="Cambria" w:hAnsi="Cambria" w:eastAsia="宋体" w:cs="Times New Roman"/>
      <w:color w:val="4F81BD"/>
      <w:sz w:val="20"/>
      <w:szCs w:val="20"/>
    </w:rPr>
  </w:style>
  <w:style w:type="character" w:customStyle="1" w:styleId="39">
    <w:name w:val="标题 9 字符"/>
    <w:basedOn w:val="25"/>
    <w:link w:val="11"/>
    <w:semiHidden/>
    <w:qFormat/>
    <w:uiPriority w:val="9"/>
    <w:rPr>
      <w:rFonts w:ascii="Cambria" w:hAnsi="Cambria" w:eastAsia="宋体" w:cs="Times New Roman"/>
      <w:i/>
      <w:iCs/>
      <w:color w:val="3F3F3F"/>
      <w:sz w:val="20"/>
      <w:szCs w:val="20"/>
    </w:rPr>
  </w:style>
  <w:style w:type="character" w:customStyle="1" w:styleId="40">
    <w:name w:val="批注文字 字符"/>
    <w:basedOn w:val="25"/>
    <w:link w:val="14"/>
    <w:qFormat/>
    <w:uiPriority w:val="99"/>
    <w:rPr>
      <w:rFonts w:cs="Times New Roman"/>
      <w:sz w:val="24"/>
      <w:szCs w:val="22"/>
    </w:rPr>
  </w:style>
  <w:style w:type="character" w:customStyle="1" w:styleId="41">
    <w:name w:val="尾注文本 字符"/>
    <w:basedOn w:val="25"/>
    <w:link w:val="15"/>
    <w:semiHidden/>
    <w:qFormat/>
    <w:uiPriority w:val="99"/>
  </w:style>
  <w:style w:type="character" w:customStyle="1" w:styleId="42">
    <w:name w:val="批注框文本 字符"/>
    <w:basedOn w:val="25"/>
    <w:link w:val="16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43">
    <w:name w:val="页脚 字符"/>
    <w:basedOn w:val="25"/>
    <w:link w:val="17"/>
    <w:qFormat/>
    <w:uiPriority w:val="99"/>
    <w:rPr>
      <w:sz w:val="18"/>
      <w:szCs w:val="18"/>
    </w:rPr>
  </w:style>
  <w:style w:type="character" w:customStyle="1" w:styleId="44">
    <w:name w:val="页眉 字符"/>
    <w:basedOn w:val="25"/>
    <w:link w:val="18"/>
    <w:qFormat/>
    <w:uiPriority w:val="99"/>
    <w:rPr>
      <w:sz w:val="18"/>
      <w:szCs w:val="18"/>
    </w:rPr>
  </w:style>
  <w:style w:type="character" w:customStyle="1" w:styleId="45">
    <w:name w:val="副标题 字符"/>
    <w:basedOn w:val="25"/>
    <w:link w:val="19"/>
    <w:qFormat/>
    <w:uiPriority w:val="11"/>
    <w:rPr>
      <w:rFonts w:ascii="Cambria" w:hAnsi="Cambria" w:eastAsia="宋体" w:cs="Times New Roman"/>
      <w:i/>
      <w:iCs/>
      <w:color w:val="4F81BD"/>
      <w:spacing w:val="15"/>
      <w:sz w:val="24"/>
      <w:szCs w:val="24"/>
    </w:rPr>
  </w:style>
  <w:style w:type="character" w:customStyle="1" w:styleId="46">
    <w:name w:val="脚注文本 字符"/>
    <w:basedOn w:val="25"/>
    <w:link w:val="20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47">
    <w:name w:val="标题 字符"/>
    <w:basedOn w:val="25"/>
    <w:link w:val="22"/>
    <w:qFormat/>
    <w:uiPriority w:val="10"/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character" w:customStyle="1" w:styleId="48">
    <w:name w:val="批注主题 字符"/>
    <w:basedOn w:val="40"/>
    <w:link w:val="23"/>
    <w:semiHidden/>
    <w:qFormat/>
    <w:uiPriority w:val="99"/>
    <w:rPr>
      <w:rFonts w:cs="Times New Roman"/>
      <w:b/>
      <w:bCs/>
      <w:sz w:val="24"/>
      <w:szCs w:val="22"/>
    </w:rPr>
  </w:style>
  <w:style w:type="paragraph" w:customStyle="1" w:styleId="49">
    <w:name w:val="无间隔1"/>
    <w:link w:val="5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50">
    <w:name w:val="无间隔 Char"/>
    <w:basedOn w:val="25"/>
    <w:link w:val="49"/>
    <w:qFormat/>
    <w:uiPriority w:val="1"/>
  </w:style>
  <w:style w:type="paragraph" w:customStyle="1" w:styleId="51">
    <w:name w:val="列出段落1"/>
    <w:basedOn w:val="1"/>
    <w:qFormat/>
    <w:uiPriority w:val="34"/>
    <w:pPr>
      <w:ind w:firstLine="0" w:firstLineChars="0"/>
      <w:contextualSpacing/>
    </w:pPr>
  </w:style>
  <w:style w:type="paragraph" w:customStyle="1" w:styleId="52">
    <w:name w:val="引用1"/>
    <w:basedOn w:val="1"/>
    <w:next w:val="1"/>
    <w:link w:val="53"/>
    <w:qFormat/>
    <w:uiPriority w:val="29"/>
    <w:rPr>
      <w:i/>
      <w:iCs/>
      <w:color w:val="000000"/>
    </w:rPr>
  </w:style>
  <w:style w:type="character" w:customStyle="1" w:styleId="53">
    <w:name w:val="引用 Char"/>
    <w:basedOn w:val="25"/>
    <w:link w:val="52"/>
    <w:qFormat/>
    <w:uiPriority w:val="29"/>
    <w:rPr>
      <w:i/>
      <w:iCs/>
      <w:color w:val="000000"/>
    </w:rPr>
  </w:style>
  <w:style w:type="paragraph" w:customStyle="1" w:styleId="54">
    <w:name w:val="明显引用1"/>
    <w:basedOn w:val="1"/>
    <w:next w:val="1"/>
    <w:link w:val="55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55">
    <w:name w:val="明显引用 Char"/>
    <w:basedOn w:val="25"/>
    <w:link w:val="54"/>
    <w:qFormat/>
    <w:uiPriority w:val="30"/>
    <w:rPr>
      <w:b/>
      <w:bCs/>
      <w:i/>
      <w:iCs/>
      <w:color w:val="4F81BD"/>
    </w:rPr>
  </w:style>
  <w:style w:type="character" w:customStyle="1" w:styleId="56">
    <w:name w:val="不明显强调1"/>
    <w:basedOn w:val="25"/>
    <w:qFormat/>
    <w:uiPriority w:val="19"/>
    <w:rPr>
      <w:i/>
      <w:iCs/>
      <w:color w:val="7F7F7F"/>
    </w:rPr>
  </w:style>
  <w:style w:type="character" w:customStyle="1" w:styleId="57">
    <w:name w:val="明显强调1"/>
    <w:basedOn w:val="25"/>
    <w:qFormat/>
    <w:uiPriority w:val="21"/>
    <w:rPr>
      <w:b/>
      <w:bCs/>
      <w:i/>
      <w:iCs/>
      <w:color w:val="4F81BD"/>
    </w:rPr>
  </w:style>
  <w:style w:type="character" w:customStyle="1" w:styleId="58">
    <w:name w:val="不明显参考1"/>
    <w:basedOn w:val="25"/>
    <w:qFormat/>
    <w:uiPriority w:val="31"/>
    <w:rPr>
      <w:smallCaps/>
      <w:color w:val="C0504D"/>
      <w:u w:val="single"/>
    </w:rPr>
  </w:style>
  <w:style w:type="character" w:customStyle="1" w:styleId="59">
    <w:name w:val="明显参考1"/>
    <w:basedOn w:val="25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60">
    <w:name w:val="书籍标题1"/>
    <w:basedOn w:val="25"/>
    <w:qFormat/>
    <w:uiPriority w:val="33"/>
    <w:rPr>
      <w:b/>
      <w:bCs/>
      <w:smallCaps/>
      <w:spacing w:val="5"/>
    </w:rPr>
  </w:style>
  <w:style w:type="paragraph" w:customStyle="1" w:styleId="61">
    <w:name w:val="TOC 标题1"/>
    <w:basedOn w:val="3"/>
    <w:next w:val="1"/>
    <w:unhideWhenUsed/>
    <w:qFormat/>
    <w:uiPriority w:val="39"/>
    <w:pPr>
      <w:outlineLvl w:val="9"/>
    </w:pPr>
  </w:style>
  <w:style w:type="paragraph" w:customStyle="1" w:styleId="62">
    <w:name w:val="修订1"/>
    <w:semiHidden/>
    <w:qFormat/>
    <w:uiPriority w:val="99"/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customStyle="1" w:styleId="63">
    <w:name w:val="修订2"/>
    <w:unhideWhenUsed/>
    <w:qFormat/>
    <w:uiPriority w:val="99"/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customStyle="1" w:styleId="64">
    <w:name w:val="修订3"/>
    <w:semiHidden/>
    <w:qFormat/>
    <w:uiPriority w:val="99"/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customStyle="1" w:styleId="65">
    <w:name w:val="修订4"/>
    <w:unhideWhenUsed/>
    <w:qFormat/>
    <w:uiPriority w:val="99"/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customStyle="1" w:styleId="66">
    <w:name w:val="Revision"/>
    <w:unhideWhenUsed/>
    <w:qFormat/>
    <w:uiPriority w:val="99"/>
    <w:rPr>
      <w:rFonts w:ascii="Times New Roman" w:hAnsi="Times New Roman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2819</Words>
  <Characters>3281</Characters>
  <Lines>39</Lines>
  <Paragraphs>11</Paragraphs>
  <TotalTime>42</TotalTime>
  <ScaleCrop>false</ScaleCrop>
  <LinksUpToDate>false</LinksUpToDate>
  <CharactersWithSpaces>3283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2022-07-28T02:51:00Z</dcterms:created>
  <dcterms:modified xsi:type="dcterms:W3CDTF">2023-09-28T01:42:46Z</dcterms:modified>
  <cp:revision>192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BC5CD961FE1A473A89D859F3ACA4EF9C</vt:lpwstr>
  </property>
</Properties>
</file>