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cs="黑体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cs="黑体" w:asciiTheme="majorEastAsia" w:hAnsiTheme="majorEastAsia" w:eastAsiaTheme="majorEastAsia"/>
          <w:sz w:val="32"/>
          <w:szCs w:val="32"/>
          <w:lang w:val="en-US" w:eastAsia="zh-CN"/>
        </w:rPr>
        <w:t>附件2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中山市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石岐街道综合养老服务中心及服务站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养老服务项目采购评审表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供应商：</w:t>
      </w:r>
    </w:p>
    <w:tbl>
      <w:tblPr>
        <w:tblStyle w:val="7"/>
        <w:tblpPr w:leftFromText="180" w:rightFromText="180" w:vertAnchor="text" w:horzAnchor="page" w:tblpX="1127" w:tblpY="564"/>
        <w:tblOverlap w:val="never"/>
        <w:tblW w:w="14775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136"/>
        <w:gridCol w:w="709"/>
        <w:gridCol w:w="11361"/>
        <w:gridCol w:w="83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tblHeader/>
        </w:trPr>
        <w:tc>
          <w:tcPr>
            <w:tcW w:w="732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136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评审项目</w:t>
            </w:r>
          </w:p>
        </w:tc>
        <w:tc>
          <w:tcPr>
            <w:tcW w:w="709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分配分数</w:t>
            </w:r>
          </w:p>
        </w:tc>
        <w:tc>
          <w:tcPr>
            <w:tcW w:w="11361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评议内容</w:t>
            </w:r>
          </w:p>
        </w:tc>
        <w:tc>
          <w:tcPr>
            <w:tcW w:w="837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得分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pStyle w:val="5"/>
              <w:tabs>
                <w:tab w:val="left" w:pos="420"/>
              </w:tabs>
              <w:snapToGrid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项目总价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361" w:type="dxa"/>
            <w:noWrap w:val="0"/>
            <w:vAlign w:val="center"/>
          </w:tcPr>
          <w:p>
            <w:pPr>
              <w:spacing w:line="460" w:lineRule="exact"/>
              <w:ind w:left="84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30"/>
              </w:rPr>
              <w:t>满足要求且</w:t>
            </w:r>
            <w:r>
              <w:rPr>
                <w:rFonts w:hint="eastAsia" w:ascii="宋体" w:hAnsi="宋体"/>
                <w:color w:val="000000"/>
                <w:szCs w:val="30"/>
                <w:lang w:val="en-US" w:eastAsia="zh-CN"/>
              </w:rPr>
              <w:t>服务</w:t>
            </w:r>
            <w:r>
              <w:rPr>
                <w:rFonts w:hint="eastAsia" w:ascii="宋体" w:hAnsi="宋体"/>
                <w:color w:val="000000"/>
                <w:szCs w:val="30"/>
              </w:rPr>
              <w:t>价格最低的为评标基准价，其价格分为满分10</w:t>
            </w:r>
            <w:r>
              <w:rPr>
                <w:rFonts w:hint="eastAsia" w:ascii="宋体" w:hAnsi="宋体"/>
                <w:color w:val="000000"/>
              </w:rPr>
              <w:t>，</w:t>
            </w:r>
            <w:r>
              <w:rPr>
                <w:rFonts w:hint="eastAsia" w:ascii="宋体" w:hAnsi="宋体"/>
                <w:color w:val="000000"/>
                <w:szCs w:val="30"/>
              </w:rPr>
              <w:t>其他</w:t>
            </w:r>
            <w:r>
              <w:rPr>
                <w:rFonts w:hint="eastAsia" w:ascii="宋体" w:hAnsi="宋体"/>
                <w:color w:val="000000"/>
                <w:szCs w:val="30"/>
                <w:lang w:val="en-US" w:eastAsia="zh-CN"/>
              </w:rPr>
              <w:t>供应商</w:t>
            </w:r>
            <w:r>
              <w:rPr>
                <w:rFonts w:hint="eastAsia" w:ascii="宋体" w:hAnsi="宋体"/>
                <w:color w:val="000000"/>
                <w:szCs w:val="30"/>
              </w:rPr>
              <w:t>的价格分统一按照下列公式计算：</w:t>
            </w:r>
            <w:r>
              <w:rPr>
                <w:rFonts w:hint="eastAsia" w:ascii="宋体" w:hAnsi="宋体"/>
                <w:b/>
                <w:color w:val="000000"/>
                <w:szCs w:val="30"/>
              </w:rPr>
              <w:t>投标报价得分（精确到小数点后2位）</w:t>
            </w:r>
            <w:r>
              <w:rPr>
                <w:rFonts w:ascii="宋体" w:hAnsi="宋体"/>
                <w:b/>
                <w:color w:val="000000"/>
                <w:szCs w:val="30"/>
              </w:rPr>
              <w:t>=(</w:t>
            </w:r>
            <w:r>
              <w:rPr>
                <w:rFonts w:hint="eastAsia" w:ascii="宋体" w:hAnsi="宋体"/>
                <w:b/>
                <w:color w:val="000000"/>
                <w:szCs w:val="30"/>
              </w:rPr>
              <w:t>评标基准价／投标报价</w:t>
            </w:r>
            <w:r>
              <w:rPr>
                <w:rFonts w:ascii="宋体" w:hAnsi="宋体"/>
                <w:b/>
                <w:color w:val="000000"/>
                <w:szCs w:val="30"/>
              </w:rPr>
              <w:t>)</w:t>
            </w:r>
            <w:r>
              <w:rPr>
                <w:rFonts w:hint="eastAsia" w:ascii="宋体" w:hAnsi="宋体"/>
                <w:b/>
                <w:color w:val="000000"/>
                <w:szCs w:val="30"/>
              </w:rPr>
              <w:t>×10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pStyle w:val="5"/>
              <w:tabs>
                <w:tab w:val="left" w:pos="420"/>
              </w:tabs>
              <w:snapToGrid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服务方案完整性及专业性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及真实性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136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供应商</w:t>
            </w:r>
            <w:r>
              <w:rPr>
                <w:b/>
                <w:bCs/>
              </w:rPr>
              <w:t>组织实施方案中从工作措施、工作方法、工作手段、工作流程、保障方案进行评审：</w:t>
            </w:r>
            <w:r>
              <w:rPr>
                <w:rFonts w:hint="eastAsia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lang w:eastAsia="zh-CN"/>
              </w:rPr>
              <w:t>优：</w:t>
            </w:r>
            <w:r>
              <w:t>组织实施方案详细具体，服务措施可行、先进，项目保障方案完善，得</w:t>
            </w:r>
            <w:r>
              <w:rPr>
                <w:rFonts w:hint="eastAsia"/>
                <w:lang w:val="en-US" w:eastAsia="zh-CN"/>
              </w:rPr>
              <w:t>25</w:t>
            </w:r>
            <w:r>
              <w:t>分；</w:t>
            </w:r>
            <w:r>
              <w:rPr>
                <w:rFonts w:hint="eastAsia"/>
                <w:lang w:val="en-US" w:eastAsia="zh-CN"/>
              </w:rPr>
              <w:t xml:space="preserve">                                     </w:t>
            </w:r>
            <w:r>
              <w:rPr>
                <w:rFonts w:hint="eastAsia"/>
                <w:lang w:eastAsia="zh-CN"/>
              </w:rPr>
              <w:t>良：</w:t>
            </w:r>
            <w:r>
              <w:t>组织实施方案完整，服务措施可行，项目保障方案基本完善，得</w:t>
            </w:r>
            <w:r>
              <w:rPr>
                <w:rFonts w:hint="eastAsia"/>
                <w:lang w:val="en-US" w:eastAsia="zh-CN"/>
              </w:rPr>
              <w:t>20</w:t>
            </w:r>
            <w:r>
              <w:t>分；</w:t>
            </w:r>
            <w:r>
              <w:rPr>
                <w:rFonts w:hint="eastAsia"/>
                <w:lang w:val="en-US" w:eastAsia="zh-CN"/>
              </w:rPr>
              <w:t xml:space="preserve">                                           中</w:t>
            </w:r>
            <w:r>
              <w:rPr>
                <w:rFonts w:hint="eastAsia"/>
                <w:lang w:eastAsia="zh-CN"/>
              </w:rPr>
              <w:t>：</w:t>
            </w:r>
            <w:r>
              <w:t>组织实施方案基本完整，服务措施一般可行，项目保障方案一般完善，得</w:t>
            </w:r>
            <w:r>
              <w:rPr>
                <w:rFonts w:hint="eastAsia"/>
                <w:lang w:val="en-US" w:eastAsia="zh-CN"/>
              </w:rPr>
              <w:t>15</w:t>
            </w:r>
            <w:bookmarkStart w:id="0" w:name="_GoBack"/>
            <w:bookmarkEnd w:id="0"/>
            <w:r>
              <w:t>分；</w:t>
            </w:r>
            <w:r>
              <w:rPr>
                <w:rFonts w:hint="eastAsia"/>
                <w:lang w:val="en-US" w:eastAsia="zh-CN"/>
              </w:rPr>
              <w:t xml:space="preserve">                                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差：</w:t>
            </w:r>
            <w:r>
              <w:t>无提供不得分。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人力资源保障措施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36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供应商需要提供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人员储备计划、人员稳定保障措施、培养培训制度等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优：人员储备计划充足、人员较稳定、保障措施可行、培养培训制度完善，得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良：人员储备计划基本充足、人员比较稳定、保障措施基本可行、培养培训制度基本完善，得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：人员储备计划不充足、人员不稳定、无保障措施、培养培训制度不完善，得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差：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相关人力资源保障措施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不得分。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管理制度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36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供应商需要提供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完善的内部管理制度，如财务管理制度、人员管理制度、薪酬制度等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优：具有完善的内部管理制度，如财务管理制度、人员管理制度、薪酬制度等，得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良：具有较完善的内部管理制度，如财务管理制度、人员管理制度、薪酬制度等，得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：具有基本完善的内部管理制度，财务管理制度、人员管理制度、薪酬制度等，得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差：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相关管理制度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不得分。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t xml:space="preserve">人员保障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1361" w:type="dxa"/>
            <w:noWrap w:val="0"/>
            <w:vAlign w:val="center"/>
          </w:tcPr>
          <w:p>
            <w:pPr>
              <w:ind w:left="210" w:hanging="211" w:hanging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供应商</w:t>
            </w:r>
            <w:r>
              <w:rPr>
                <w:b/>
                <w:bCs/>
              </w:rPr>
              <w:t>对服务人员的后勤保障措施、薪酬待遇进行评审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</w:t>
            </w:r>
          </w:p>
          <w:p>
            <w:pPr>
              <w:ind w:left="210" w:hanging="21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优：</w:t>
            </w:r>
            <w:r>
              <w:t>人员后勤保障措施完善、薪酬待遇优于</w:t>
            </w:r>
            <w:r>
              <w:rPr>
                <w:rFonts w:hint="eastAsia"/>
              </w:rPr>
              <w:t>报价资料</w:t>
            </w:r>
            <w:r>
              <w:t>要求，得2</w:t>
            </w:r>
            <w:r>
              <w:rPr>
                <w:rFonts w:hint="eastAsia"/>
                <w:lang w:val="en-US" w:eastAsia="zh-CN"/>
              </w:rPr>
              <w:t>5</w:t>
            </w:r>
            <w:r>
              <w:t xml:space="preserve">分。 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</w:t>
            </w:r>
          </w:p>
          <w:p>
            <w:pPr>
              <w:ind w:left="210" w:hanging="21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良：</w:t>
            </w:r>
            <w:r>
              <w:t>人员后勤保障措施相对完善、薪酬待遇较优于</w:t>
            </w:r>
            <w:r>
              <w:rPr>
                <w:rFonts w:hint="eastAsia"/>
              </w:rPr>
              <w:t>报价资料</w:t>
            </w:r>
            <w:r>
              <w:t>要求，得</w:t>
            </w:r>
            <w:r>
              <w:rPr>
                <w:rFonts w:hint="eastAsia"/>
                <w:lang w:val="en-US" w:eastAsia="zh-CN"/>
              </w:rPr>
              <w:t>15</w:t>
            </w:r>
            <w:r>
              <w:t xml:space="preserve">分。 </w:t>
            </w: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</w:p>
          <w:p>
            <w:pPr>
              <w:ind w:left="210" w:hanging="21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中：</w:t>
            </w:r>
            <w:r>
              <w:t>人员后勤保障措施基本完善、薪酬待遇满足</w:t>
            </w:r>
            <w:r>
              <w:rPr>
                <w:rFonts w:hint="eastAsia"/>
              </w:rPr>
              <w:t>报价资料</w:t>
            </w:r>
            <w:r>
              <w:t>要求，得</w:t>
            </w:r>
            <w:r>
              <w:rPr>
                <w:rFonts w:hint="eastAsia"/>
                <w:lang w:val="en-US" w:eastAsia="zh-CN"/>
              </w:rPr>
              <w:t>10</w:t>
            </w:r>
            <w:r>
              <w:t xml:space="preserve">分。 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                            </w:t>
            </w:r>
          </w:p>
          <w:p>
            <w:pPr>
              <w:ind w:left="210" w:hanging="21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差：</w:t>
            </w:r>
            <w:r>
              <w:t>人员后勤保障措施不完善、薪酬待遇满足</w:t>
            </w:r>
            <w:r>
              <w:rPr>
                <w:rFonts w:hint="eastAsia"/>
              </w:rPr>
              <w:t>报价资料</w:t>
            </w:r>
            <w:r>
              <w:t>要求，得5分。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</w:t>
            </w:r>
          </w:p>
          <w:p>
            <w:pPr>
              <w:ind w:left="210" w:hanging="210" w:hangingChars="100"/>
            </w:pPr>
            <w:r>
              <w:t>无提供不得分</w:t>
            </w:r>
          </w:p>
          <w:p>
            <w:pPr>
              <w:ind w:left="210" w:hanging="211" w:hangingChars="100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8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培训方案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36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210" w:hanging="211" w:hanging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供应商</w:t>
            </w:r>
            <w:r>
              <w:rPr>
                <w:b/>
                <w:bCs/>
              </w:rPr>
              <w:t>对项目人员的培训计划、岗前培训、在岗培训和考核方式进行评审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           </w:t>
            </w:r>
          </w:p>
          <w:p>
            <w:pPr>
              <w:numPr>
                <w:ilvl w:val="0"/>
                <w:numId w:val="0"/>
              </w:numPr>
              <w:ind w:left="210" w:hanging="21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优：</w:t>
            </w:r>
            <w:r>
              <w:t xml:space="preserve">有科学可行的项目人员的岗前培训、在岗培训计划，培训资源丰富 ，考核方案详细、可行，得10分； </w:t>
            </w:r>
            <w:r>
              <w:rPr>
                <w:rFonts w:hint="eastAsia"/>
                <w:lang w:val="en-US" w:eastAsia="zh-CN"/>
              </w:rPr>
              <w:t xml:space="preserve">              </w:t>
            </w:r>
          </w:p>
          <w:p>
            <w:pPr>
              <w:numPr>
                <w:ilvl w:val="0"/>
                <w:numId w:val="0"/>
              </w:numPr>
              <w:ind w:left="210" w:hanging="21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良：</w:t>
            </w:r>
            <w:r>
              <w:t xml:space="preserve">有较完善的项目人员的岗前培训、在岗 培训计划，较丰富的培训资源，考核方案且基本可行，得7分； </w:t>
            </w:r>
            <w:r>
              <w:rPr>
                <w:rFonts w:hint="eastAsia"/>
                <w:lang w:val="en-US" w:eastAsia="zh-CN"/>
              </w:rPr>
              <w:t xml:space="preserve">              </w:t>
            </w:r>
          </w:p>
          <w:p>
            <w:pPr>
              <w:numPr>
                <w:ilvl w:val="0"/>
                <w:numId w:val="0"/>
              </w:numPr>
              <w:ind w:left="210" w:hanging="21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中：</w:t>
            </w:r>
            <w:r>
              <w:t>有基本的  项目人员的岗前培训、在岗培训计划，培训资源一般，考核方案一般，得4分；</w:t>
            </w:r>
            <w:r>
              <w:rPr>
                <w:rFonts w:hint="eastAsia"/>
                <w:lang w:val="en-US" w:eastAsia="zh-CN"/>
              </w:rPr>
              <w:t xml:space="preserve">                          </w:t>
            </w:r>
          </w:p>
          <w:p>
            <w:pPr>
              <w:numPr>
                <w:ilvl w:val="0"/>
                <w:numId w:val="0"/>
              </w:numPr>
              <w:ind w:left="210" w:hanging="210" w:hangingChars="100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差：</w:t>
            </w:r>
            <w:r>
              <w:t>无提供不得分。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用户评价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361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投标人提供针对上述“业绩”用户出具的服务评价文件，评价结果为“好评”或“优秀”或相同含义的评价的，每项得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分，最高得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（注：提供服务评价文件及其对应合同的复印件加盖公章）</w:t>
            </w:r>
          </w:p>
        </w:tc>
        <w:tc>
          <w:tcPr>
            <w:tcW w:w="83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73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合计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得分总计</w:t>
            </w:r>
          </w:p>
        </w:tc>
        <w:tc>
          <w:tcPr>
            <w:tcW w:w="1136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86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3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>
      <w:pPr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　　</w:t>
      </w:r>
      <w:r>
        <w:rPr>
          <w:rFonts w:ascii="Times New Roman" w:hAnsi="Times New Roman" w:eastAsia="仿宋_GB2312" w:cs="Times New Roman"/>
          <w:sz w:val="32"/>
          <w:szCs w:val="32"/>
        </w:rPr>
        <w:t>评审人签名：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　　　　　　　　　　　　　　　　　　　　　　</w:t>
      </w:r>
      <w:r>
        <w:rPr>
          <w:rFonts w:ascii="Times New Roman" w:hAnsi="Times New Roman" w:eastAsia="仿宋_GB2312" w:cs="Times New Roman"/>
          <w:sz w:val="32"/>
          <w:szCs w:val="32"/>
        </w:rPr>
        <w:t>日期：     年   月   日</w:t>
      </w:r>
    </w:p>
    <w:sectPr>
      <w:pgSz w:w="16838" w:h="11906" w:orient="landscape"/>
      <w:pgMar w:top="1587" w:right="1587" w:bottom="1587" w:left="1587" w:header="851" w:footer="992" w:gutter="0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26701"/>
    <w:rsid w:val="000021D1"/>
    <w:rsid w:val="002E5C9B"/>
    <w:rsid w:val="0051426E"/>
    <w:rsid w:val="007E3638"/>
    <w:rsid w:val="00811E93"/>
    <w:rsid w:val="00AC1F7C"/>
    <w:rsid w:val="00D95769"/>
    <w:rsid w:val="039E428B"/>
    <w:rsid w:val="060D496C"/>
    <w:rsid w:val="09DE16FB"/>
    <w:rsid w:val="0B912533"/>
    <w:rsid w:val="0C126701"/>
    <w:rsid w:val="0ED17186"/>
    <w:rsid w:val="117305D2"/>
    <w:rsid w:val="18F21814"/>
    <w:rsid w:val="194312E9"/>
    <w:rsid w:val="1B7964C8"/>
    <w:rsid w:val="1BF84C8E"/>
    <w:rsid w:val="1D285453"/>
    <w:rsid w:val="1E556BC4"/>
    <w:rsid w:val="1EC93DFC"/>
    <w:rsid w:val="21A06EBB"/>
    <w:rsid w:val="222B6BA2"/>
    <w:rsid w:val="248D194A"/>
    <w:rsid w:val="24B62122"/>
    <w:rsid w:val="26377B2A"/>
    <w:rsid w:val="2FFF775D"/>
    <w:rsid w:val="30A33D30"/>
    <w:rsid w:val="30CA17E6"/>
    <w:rsid w:val="3153468F"/>
    <w:rsid w:val="323352EB"/>
    <w:rsid w:val="32F14361"/>
    <w:rsid w:val="35641083"/>
    <w:rsid w:val="385A5586"/>
    <w:rsid w:val="3BA32EE4"/>
    <w:rsid w:val="475665CA"/>
    <w:rsid w:val="4A2522FD"/>
    <w:rsid w:val="53101F5F"/>
    <w:rsid w:val="54B6361C"/>
    <w:rsid w:val="56420695"/>
    <w:rsid w:val="58C76221"/>
    <w:rsid w:val="5C6B7675"/>
    <w:rsid w:val="60726050"/>
    <w:rsid w:val="64E111E9"/>
    <w:rsid w:val="67055301"/>
    <w:rsid w:val="6C6E26E2"/>
    <w:rsid w:val="74185A85"/>
    <w:rsid w:val="7C8C04E1"/>
    <w:rsid w:val="7D15435C"/>
    <w:rsid w:val="7D1A63F7"/>
    <w:rsid w:val="7E4E5B61"/>
    <w:rsid w:val="7FEC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both"/>
    </w:pPr>
    <w:rPr>
      <w:kern w:val="2"/>
      <w:sz w:val="28"/>
    </w:rPr>
  </w:style>
  <w:style w:type="paragraph" w:styleId="3">
    <w:name w:val="toc 5"/>
    <w:basedOn w:val="1"/>
    <w:next w:val="1"/>
    <w:qFormat/>
    <w:uiPriority w:val="0"/>
    <w:pPr>
      <w:widowControl w:val="0"/>
      <w:ind w:left="1680"/>
      <w:jc w:val="both"/>
    </w:pPr>
    <w:rPr>
      <w:kern w:val="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中山市民政局</Company>
  <Pages>4</Pages>
  <Words>258</Words>
  <Characters>1476</Characters>
  <Lines>12</Lines>
  <Paragraphs>3</Paragraphs>
  <TotalTime>4</TotalTime>
  <ScaleCrop>false</ScaleCrop>
  <LinksUpToDate>false</LinksUpToDate>
  <CharactersWithSpaces>1731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2021-07-20T14:39:00Z</dcterms:created>
  <dc:creator>阳睿♬*゜</dc:creator>
  <cp:lastModifiedBy>杨泳欣</cp:lastModifiedBy>
  <cp:lastPrinted>2022-11-11T02:53:00Z</cp:lastPrinted>
  <dcterms:modified xsi:type="dcterms:W3CDTF">2022-11-17T08:14:34Z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7F1D4477D58141F796B0CAAC3D0BF5E7</vt:lpwstr>
  </property>
</Properties>
</file>