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中山市南头镇原中山广利罐头厂园区微改造项目改造方案</w:t>
      </w:r>
    </w:p>
    <w:p>
      <w:pPr>
        <w:rPr>
          <w:rFonts w:hint="eastAsia" w:ascii="宋体" w:hAnsi="宋体" w:eastAsia="宋体" w:cs="宋体"/>
          <w:color w:val="auto"/>
          <w:sz w:val="32"/>
          <w:szCs w:val="32"/>
          <w:highlight w:val="none"/>
          <w:lang w:val="en-US" w:eastAsia="zh-CN"/>
        </w:rPr>
      </w:pPr>
    </w:p>
    <w:p>
      <w:pPr>
        <w:numPr>
          <w:ilvl w:val="0"/>
          <w:numId w:val="0"/>
        </w:num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一、项目背景</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省政府《关于推进"三旧"改造促进节约集约用地的若干意见》（粤府〔2009〕78号）、省府办公厅《转发省国土资源厅关于"三旧"改造工作实施意见（试行）的通知》（粤府办〔2009〕122号）和《中山市人民政府关于"三旧"改造工作的若干意见》（中府〔2010〕1号）、《中山市人民政府关于印发中山市城市更新管理办法的通知》（中府规字（2020〕10号中府〔2020〕93号）、《中山市城市更新局关于印发＜中山市旧厂房功能改变类微改造项目行政审批工作指引（试行）＞的通知》（中山更新发〔2021〕29号）及相关文件精神，我公司中山罐头文化旅游开发有限公司（以下简称"我公司"）受佛山市罐头文化咨询有限公司委托，拟对位于中山市南头镇沿江路的原中山广利罐头厂旧厂房及用地进行功能改变类微改造。</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改造项目地块之前是旧厂房建筑，原厂名为中山市广利罐头食品厂，位于中山市南头镇沿江东路一号，在南头水上运动公园附近，工厂在1987年11月18日成立，工厂主要经营水产品罐头，肉类罐头，农副产品罐头，加工，销售，有好的产品和专业的销售和技术团队。工厂属于中山罐头厂黄页行业，工厂到2002年结业，结业后一直闲置至2010年3月。在2010年3月7日潘建洪先生购买了该厂房，一直闲置多年，直到2022年12月13日转让给佛山市罐头文化咨询有限公司。2023年5月17日中山罐头文化旅游开发有限公司与佛山市罐头文化咨询有限公司签订了租赁合同，由中山罐头公司独立经营，对该地块进行开发改造。</w:t>
      </w:r>
    </w:p>
    <w:p>
      <w:pPr>
        <w:numPr>
          <w:ilvl w:val="0"/>
          <w:numId w:val="0"/>
        </w:numPr>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为进一步优化南头镇产业结构，推动全镇经济实现高质量发展，南头镇人民政府于2023年7月7日与</w:t>
      </w:r>
      <w:r>
        <w:rPr>
          <w:rFonts w:hint="eastAsia" w:ascii="仿宋" w:hAnsi="仿宋" w:eastAsia="仿宋" w:cs="仿宋"/>
          <w:color w:val="auto"/>
          <w:sz w:val="32"/>
          <w:szCs w:val="32"/>
          <w:highlight w:val="none"/>
          <w:lang w:val="en-US" w:eastAsia="zh-CN"/>
        </w:rPr>
        <w:t>中山罐头文化旅游开发有限公司</w:t>
      </w:r>
      <w:r>
        <w:rPr>
          <w:rFonts w:hint="eastAsia" w:ascii="仿宋" w:hAnsi="仿宋" w:eastAsia="仿宋" w:cs="仿宋"/>
          <w:color w:val="auto"/>
          <w:kern w:val="2"/>
          <w:sz w:val="32"/>
          <w:szCs w:val="32"/>
          <w:highlight w:val="none"/>
          <w:lang w:val="en-US" w:eastAsia="zh-CN" w:bidi="ar-SA"/>
        </w:rPr>
        <w:t>共同签订《中山罐头文化旅游开发有限公司原中山广利罐头厂旧厂房微改造项目投资协议书》。</w:t>
      </w:r>
    </w:p>
    <w:p>
      <w:pPr>
        <w:numPr>
          <w:ilvl w:val="0"/>
          <w:numId w:val="0"/>
        </w:numPr>
        <w:ind w:leftChars="0"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二、项目土地、建筑基本情况</w:t>
      </w:r>
    </w:p>
    <w:p>
      <w:pPr>
        <w:numPr>
          <w:ilvl w:val="0"/>
          <w:numId w:val="0"/>
        </w:num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（一）项目土地情况</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项目涉及用地共计两宗，基本用地情况具体如下：</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项目用地一：产权人为佛山市罐头文化咨询有限公司，位于南头镇沿江东路， 水上运动公园旁、围堤内，土地面积为24870平方米，房屋建筑面积为15253.61平方米，地块性质为工业用地。地块不动产权证号：粤(2023)中山市不动产权第0303094号。</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项目用地二：产权人为佛山市罐头文化咨询有限公司，位于中山市南头镇沿江路，土地面积4500平方米，房屋建筑面积1623.95平方米，地块性质为综合办公楼用地。地块不动产权证号：粤(2023)中山市不动产权第0316005号。</w:t>
      </w:r>
    </w:p>
    <w:p>
      <w:pPr>
        <w:numPr>
          <w:ilvl w:val="0"/>
          <w:numId w:val="0"/>
        </w:numPr>
        <w:ind w:firstLine="640" w:firstLineChars="200"/>
        <w:rPr>
          <w:rFonts w:hint="eastAsia" w:ascii="仿宋" w:hAnsi="仿宋" w:eastAsia="仿宋_GB2312"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按照省有关</w:t>
      </w:r>
      <w:r>
        <w:rPr>
          <w:rFonts w:hint="eastAsia" w:ascii="仿宋_GB2312" w:hAnsi="仿宋_GB2312" w:eastAsia="仿宋_GB2312" w:cs="仿宋_GB2312"/>
          <w:color w:val="auto"/>
          <w:kern w:val="0"/>
          <w:sz w:val="32"/>
          <w:szCs w:val="32"/>
          <w:highlight w:val="none"/>
        </w:rPr>
        <w:t>按照省有关规定，改造项目区域已纳入标图建库</w:t>
      </w: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rPr>
        <w:t>符合城市更新专项规划、国土空间详细规划</w:t>
      </w:r>
      <w:r>
        <w:rPr>
          <w:rFonts w:hint="eastAsia" w:ascii="仿宋_GB2312" w:hAnsi="仿宋_GB2312" w:eastAsia="仿宋_GB2312" w:cs="仿宋_GB2312"/>
          <w:color w:val="auto"/>
          <w:kern w:val="0"/>
          <w:sz w:val="32"/>
          <w:szCs w:val="32"/>
          <w:highlight w:val="none"/>
          <w:lang w:eastAsia="zh-CN"/>
        </w:rPr>
        <w:t>。</w:t>
      </w:r>
    </w:p>
    <w:p>
      <w:pPr>
        <w:numPr>
          <w:ilvl w:val="0"/>
          <w:numId w:val="1"/>
        </w:num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土壤检测情况</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我公司委托广东中诺国际检测认证有限公司做土壤及地下水检测调查，调查单位于 2023 年 6 月开展目标地块初步采样工作，其中土壤样品采集时间为 2023年6月9日至6月13日，地下水样品采集时间为 2023年6月9日至6月13日。 </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调查地块内地下水样品总数4个,设备清洗空白样、全程序空白样、运输空白样个数为 4个，占比100%;实验室空白个数为2~4个，占比50~100%;现场平行样2~4个，占比50~100%;实验室平行样为2个，占比50%;检测项目包括 GB36600-2018 中的 45 项基本项目、常规理化指标 2 项（pH、浊度）以及特征污染物石油烃（C10-C40）、锡、锌、银、氰化物、氟化物。样品加标回收率和加标样品替代物的测定结果也均满足技术规范要求。</w:t>
      </w:r>
    </w:p>
    <w:p>
      <w:pPr>
        <w:numPr>
          <w:ilvl w:val="0"/>
          <w:numId w:val="0"/>
        </w:numPr>
        <w:ind w:firstLine="640" w:firstLineChars="200"/>
        <w:rPr>
          <w:rFonts w:hint="eastAsia" w:ascii="仿宋" w:hAnsi="仿宋" w:eastAsia="仿宋" w:cs="仿宋"/>
          <w:color w:val="auto"/>
          <w:highlight w:val="none"/>
          <w:lang w:val="en-US" w:eastAsia="zh-CN"/>
        </w:rPr>
      </w:pPr>
      <w:r>
        <w:rPr>
          <w:rFonts w:hint="eastAsia" w:ascii="仿宋" w:hAnsi="仿宋" w:eastAsia="仿宋" w:cs="仿宋"/>
          <w:color w:val="auto"/>
          <w:sz w:val="32"/>
          <w:szCs w:val="32"/>
          <w:highlight w:val="none"/>
          <w:lang w:val="en-US" w:eastAsia="zh-CN"/>
        </w:rPr>
        <w:t>调查地块内土壤样品数为58个，运输空白、全程序空白个数为3~6个，占比5~10%, 实验室空白个数为4~8个，占比7%~14%;现场平行样个数为4~7个，占比7~12%;实 验室平行个数为4~7个，占比7~12%;检测项目包括《土壤环境质量 建设用地土壤污染风险管控标准（试行）》（GB36600）中的 45 项基本项目、土壤理化指标（pH、含水率）以及地块特征污染物石油烃（C10-C40）、锡、锌、银、氰化物、氟化物等。样品加标回收率和加标样品替代物的测定结果也均满足技术规范要求。</w:t>
      </w:r>
    </w:p>
    <w:p>
      <w:pPr>
        <w:numPr>
          <w:ilvl w:val="0"/>
          <w:numId w:val="0"/>
        </w:num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（三）项目建筑情况</w:t>
      </w:r>
    </w:p>
    <w:p>
      <w:pPr>
        <w:ind w:firstLine="320" w:firstLineChars="1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园区内共有17栋建筑单体楼，建筑面积共17260.94㎡，</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具体情况如下表：</w:t>
      </w:r>
    </w:p>
    <w:tbl>
      <w:tblPr>
        <w:tblStyle w:val="7"/>
        <w:tblpPr w:leftFromText="180" w:rightFromText="180" w:vertAnchor="text" w:tblpXSpec="center" w:tblpY="1"/>
        <w:tblOverlap w:val="never"/>
        <w:tblW w:w="9031"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671"/>
        <w:gridCol w:w="3051"/>
        <w:gridCol w:w="1886"/>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742" w:type="dxa"/>
            <w:vAlign w:val="center"/>
          </w:tcPr>
          <w:p>
            <w:pPr>
              <w:pStyle w:val="3"/>
              <w:jc w:val="center"/>
              <w:rPr>
                <w:rFonts w:hint="eastAsia" w:ascii="仿宋" w:hAnsi="仿宋" w:eastAsia="仿宋" w:cs="仿宋"/>
                <w:b/>
                <w:bCs/>
                <w:color w:val="auto"/>
                <w:sz w:val="32"/>
                <w:szCs w:val="32"/>
                <w:highlight w:val="none"/>
                <w:vertAlign w:val="baseline"/>
                <w:lang w:val="en-US" w:eastAsia="zh-CN"/>
              </w:rPr>
            </w:pPr>
            <w:r>
              <w:rPr>
                <w:rFonts w:hint="eastAsia" w:ascii="仿宋" w:hAnsi="仿宋" w:eastAsia="仿宋" w:cs="仿宋"/>
                <w:b/>
                <w:bCs/>
                <w:color w:val="auto"/>
                <w:sz w:val="32"/>
                <w:szCs w:val="32"/>
                <w:highlight w:val="none"/>
                <w:vertAlign w:val="baseline"/>
                <w:lang w:val="en-US" w:eastAsia="zh-CN"/>
              </w:rPr>
              <w:t>序号</w:t>
            </w:r>
          </w:p>
        </w:tc>
        <w:tc>
          <w:tcPr>
            <w:tcW w:w="1671" w:type="dxa"/>
            <w:vAlign w:val="center"/>
          </w:tcPr>
          <w:p>
            <w:pPr>
              <w:pStyle w:val="3"/>
              <w:jc w:val="center"/>
              <w:rPr>
                <w:rFonts w:hint="eastAsia" w:ascii="仿宋" w:hAnsi="仿宋" w:eastAsia="仿宋" w:cs="仿宋"/>
                <w:b/>
                <w:bCs/>
                <w:color w:val="auto"/>
                <w:sz w:val="32"/>
                <w:szCs w:val="32"/>
                <w:highlight w:val="none"/>
                <w:vertAlign w:val="baseline"/>
                <w:lang w:val="en-US" w:eastAsia="zh-CN"/>
              </w:rPr>
            </w:pPr>
            <w:r>
              <w:rPr>
                <w:rFonts w:hint="eastAsia" w:ascii="仿宋" w:hAnsi="仿宋" w:eastAsia="仿宋" w:cs="仿宋"/>
                <w:b/>
                <w:bCs/>
                <w:color w:val="auto"/>
                <w:sz w:val="32"/>
                <w:szCs w:val="32"/>
                <w:highlight w:val="none"/>
                <w:vertAlign w:val="baseline"/>
                <w:lang w:val="en-US" w:eastAsia="zh-CN"/>
              </w:rPr>
              <w:t>楼号</w:t>
            </w:r>
          </w:p>
        </w:tc>
        <w:tc>
          <w:tcPr>
            <w:tcW w:w="3051" w:type="dxa"/>
            <w:vAlign w:val="center"/>
          </w:tcPr>
          <w:p>
            <w:pPr>
              <w:pStyle w:val="3"/>
              <w:jc w:val="center"/>
              <w:rPr>
                <w:rFonts w:hint="eastAsia" w:ascii="仿宋" w:hAnsi="仿宋" w:eastAsia="仿宋" w:cs="仿宋"/>
                <w:b/>
                <w:bCs/>
                <w:color w:val="auto"/>
                <w:sz w:val="32"/>
                <w:szCs w:val="32"/>
                <w:highlight w:val="none"/>
                <w:vertAlign w:val="baseline"/>
                <w:lang w:val="en-US" w:eastAsia="zh-CN"/>
              </w:rPr>
            </w:pPr>
            <w:r>
              <w:rPr>
                <w:rFonts w:hint="eastAsia" w:ascii="仿宋" w:hAnsi="仿宋" w:eastAsia="仿宋" w:cs="仿宋"/>
                <w:b/>
                <w:bCs/>
                <w:color w:val="auto"/>
                <w:sz w:val="32"/>
                <w:szCs w:val="32"/>
                <w:highlight w:val="none"/>
                <w:vertAlign w:val="baseline"/>
                <w:lang w:val="en-US" w:eastAsia="zh-CN"/>
              </w:rPr>
              <w:t>结构</w:t>
            </w:r>
          </w:p>
        </w:tc>
        <w:tc>
          <w:tcPr>
            <w:tcW w:w="1886" w:type="dxa"/>
            <w:vAlign w:val="center"/>
          </w:tcPr>
          <w:p>
            <w:pPr>
              <w:pStyle w:val="3"/>
              <w:jc w:val="center"/>
              <w:rPr>
                <w:rFonts w:hint="eastAsia" w:ascii="仿宋" w:hAnsi="仿宋" w:eastAsia="仿宋" w:cs="仿宋"/>
                <w:b/>
                <w:bCs/>
                <w:color w:val="auto"/>
                <w:sz w:val="32"/>
                <w:szCs w:val="32"/>
                <w:highlight w:val="none"/>
                <w:vertAlign w:val="baseline"/>
                <w:lang w:val="en-US" w:eastAsia="zh-CN"/>
              </w:rPr>
            </w:pPr>
            <w:r>
              <w:rPr>
                <w:rFonts w:hint="eastAsia" w:ascii="仿宋" w:hAnsi="仿宋" w:eastAsia="仿宋" w:cs="仿宋"/>
                <w:b/>
                <w:bCs/>
                <w:color w:val="auto"/>
                <w:sz w:val="32"/>
                <w:szCs w:val="32"/>
                <w:highlight w:val="none"/>
                <w:vertAlign w:val="baseline"/>
                <w:lang w:val="en-US" w:eastAsia="zh-CN"/>
              </w:rPr>
              <w:t>层数</w:t>
            </w:r>
          </w:p>
        </w:tc>
        <w:tc>
          <w:tcPr>
            <w:tcW w:w="1681" w:type="dxa"/>
            <w:vAlign w:val="center"/>
          </w:tcPr>
          <w:p>
            <w:pPr>
              <w:pStyle w:val="3"/>
              <w:jc w:val="center"/>
              <w:rPr>
                <w:rFonts w:hint="eastAsia" w:ascii="仿宋" w:hAnsi="仿宋" w:eastAsia="仿宋" w:cs="仿宋"/>
                <w:b/>
                <w:bCs/>
                <w:color w:val="auto"/>
                <w:sz w:val="32"/>
                <w:szCs w:val="32"/>
                <w:highlight w:val="none"/>
                <w:vertAlign w:val="baseline"/>
                <w:lang w:val="en-US" w:eastAsia="zh-CN"/>
              </w:rPr>
            </w:pPr>
            <w:r>
              <w:rPr>
                <w:rFonts w:hint="eastAsia" w:ascii="仿宋" w:hAnsi="仿宋" w:eastAsia="仿宋" w:cs="仿宋"/>
                <w:b/>
                <w:bCs/>
                <w:color w:val="auto"/>
                <w:sz w:val="32"/>
                <w:szCs w:val="32"/>
                <w:highlight w:val="none"/>
                <w:vertAlign w:val="baseline"/>
                <w:lang w:val="en-US"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3层楼层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4125.70㎡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4706.24㎡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混凝土柱星瓦</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2层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混凝土柱星瓦</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7号楼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混凝土柱星瓦</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8</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8号楼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混凝土柱星瓦</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11号楼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12号楼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混凝土柱星瓦</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11</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13号楼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混凝土柱星瓦</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12</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14号楼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13</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15号楼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14</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16号楼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15</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17号楼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16</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18号楼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17</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19号楼</w:t>
            </w: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砖柱混凝土框架</w:t>
            </w: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1层</w:t>
            </w:r>
          </w:p>
        </w:tc>
        <w:tc>
          <w:tcPr>
            <w:tcW w:w="1681"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42" w:type="dxa"/>
            <w:vAlign w:val="center"/>
          </w:tcPr>
          <w:p>
            <w:pPr>
              <w:pStyle w:val="3"/>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合计</w:t>
            </w:r>
          </w:p>
        </w:tc>
        <w:tc>
          <w:tcPr>
            <w:tcW w:w="1671" w:type="dxa"/>
            <w:vAlign w:val="center"/>
          </w:tcPr>
          <w:p>
            <w:pPr>
              <w:pStyle w:val="3"/>
              <w:jc w:val="center"/>
              <w:rPr>
                <w:rFonts w:hint="eastAsia" w:ascii="仿宋" w:hAnsi="仿宋" w:eastAsia="仿宋" w:cs="仿宋"/>
                <w:color w:val="auto"/>
                <w:sz w:val="24"/>
                <w:szCs w:val="24"/>
                <w:highlight w:val="none"/>
                <w:vertAlign w:val="baseline"/>
                <w:lang w:val="en-US" w:eastAsia="zh-CN"/>
              </w:rPr>
            </w:pPr>
          </w:p>
        </w:tc>
        <w:tc>
          <w:tcPr>
            <w:tcW w:w="3051" w:type="dxa"/>
            <w:vAlign w:val="center"/>
          </w:tcPr>
          <w:p>
            <w:pPr>
              <w:pStyle w:val="3"/>
              <w:jc w:val="center"/>
              <w:rPr>
                <w:rFonts w:hint="eastAsia" w:ascii="仿宋" w:hAnsi="仿宋" w:eastAsia="仿宋" w:cs="仿宋"/>
                <w:color w:val="auto"/>
                <w:sz w:val="24"/>
                <w:szCs w:val="24"/>
                <w:highlight w:val="none"/>
                <w:vertAlign w:val="baseline"/>
                <w:lang w:val="en-US" w:eastAsia="zh-CN"/>
              </w:rPr>
            </w:pPr>
          </w:p>
        </w:tc>
        <w:tc>
          <w:tcPr>
            <w:tcW w:w="1886" w:type="dxa"/>
            <w:vAlign w:val="center"/>
          </w:tcPr>
          <w:p>
            <w:pPr>
              <w:pStyle w:val="3"/>
              <w:jc w:val="center"/>
              <w:rPr>
                <w:rFonts w:hint="eastAsia" w:ascii="仿宋" w:hAnsi="仿宋" w:eastAsia="仿宋" w:cs="仿宋"/>
                <w:color w:val="auto"/>
                <w:sz w:val="24"/>
                <w:szCs w:val="24"/>
                <w:highlight w:val="none"/>
                <w:vertAlign w:val="baseline"/>
                <w:lang w:val="en-US" w:eastAsia="zh-CN"/>
              </w:rPr>
            </w:pPr>
          </w:p>
        </w:tc>
        <w:tc>
          <w:tcPr>
            <w:tcW w:w="1681" w:type="dxa"/>
            <w:vAlign w:val="center"/>
          </w:tcPr>
          <w:p>
            <w:pPr>
              <w:pStyle w:val="3"/>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17332.94㎡</w:t>
            </w:r>
          </w:p>
        </w:tc>
      </w:tr>
    </w:tbl>
    <w:p>
      <w:pPr>
        <w:ind w:firstLine="640"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2023年8月，本公司聘请广东合准检测鉴定有限公司对各号楼进行建筑安全性鉴定，报告结果为1、2、14号楼和16号楼均为安全性等级为B级，子系统层次（主体结构）安全性等级评定为B级，即安全性略低于本标准对A级的规定，尚不显著影响整体承载。其他3、4、5、6、7、8、11、12、13、15、17、18、19号楼均为安全性等级为一级，上部主体结构（子系统层次）安全性等级评定为A级。抗震鉴定结论：所有号楼综合抗震能力满足所在地区抗震的要求。</w:t>
      </w:r>
    </w:p>
    <w:p>
      <w:pPr>
        <w:numPr>
          <w:ilvl w:val="0"/>
          <w:numId w:val="0"/>
        </w:num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三、项目团队</w:t>
      </w:r>
    </w:p>
    <w:p>
      <w:pPr>
        <w:pStyle w:val="3"/>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项目运营改造团队有丰富的“三旧</w:t>
      </w:r>
      <w:bookmarkStart w:id="0" w:name="_GoBack"/>
      <w:bookmarkEnd w:id="0"/>
      <w:r>
        <w:rPr>
          <w:rFonts w:hint="eastAsia" w:ascii="仿宋" w:hAnsi="仿宋" w:eastAsia="仿宋" w:cs="仿宋"/>
          <w:color w:val="auto"/>
          <w:kern w:val="2"/>
          <w:sz w:val="32"/>
          <w:szCs w:val="32"/>
          <w:highlight w:val="none"/>
          <w:lang w:val="en-US" w:eastAsia="zh-CN" w:bidi="ar-SA"/>
        </w:rPr>
        <w:t>”改造项目经验，并有打造容桂渔人码头网红打卡点的成功案例。本项目主要负责人是陈浩文先生，也是容桂渔人码头一期食出码头，二期食品厂的创始人，成功创造目前一直流传的网红打卡标志性建筑：网红红灯塔，为食猫创作墙面，霍尔锚等等，项目施工地已成立项目建设临时指挥部，统筹所有工程项目和招商管理。</w:t>
      </w:r>
    </w:p>
    <w:p>
      <w:pPr>
        <w:numPr>
          <w:ilvl w:val="0"/>
          <w:numId w:val="0"/>
        </w:num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四、投资规模</w:t>
      </w:r>
    </w:p>
    <w:p>
      <w:pPr>
        <w:numPr>
          <w:ilvl w:val="0"/>
          <w:numId w:val="0"/>
        </w:numPr>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根据项目设计方案规划，预算第一期共投入约1.3亿，具体如下表：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4686"/>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序号</w:t>
            </w:r>
          </w:p>
        </w:tc>
        <w:tc>
          <w:tcPr>
            <w:tcW w:w="4686"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项目</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预期投入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w:t>
            </w:r>
          </w:p>
        </w:tc>
        <w:tc>
          <w:tcPr>
            <w:tcW w:w="4686"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地块转让购买</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约7000万元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2</w:t>
            </w:r>
          </w:p>
        </w:tc>
        <w:tc>
          <w:tcPr>
            <w:tcW w:w="4686"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消防工程投入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3</w:t>
            </w:r>
          </w:p>
        </w:tc>
        <w:tc>
          <w:tcPr>
            <w:tcW w:w="4686"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排污工程投入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4</w:t>
            </w:r>
          </w:p>
        </w:tc>
        <w:tc>
          <w:tcPr>
            <w:tcW w:w="4686"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排水工程投入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5</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高压用电工程投入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6</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低压用电工程投入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7</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园区地面工程投入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8</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电梯安装工程投入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9</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钢结构工程投入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10</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园区亮化工程投入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11</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給水工程投入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12</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园林绿化工程投入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13</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建筑物外立面装饰工程投入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14</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i w:val="0"/>
                <w:iCs w:val="0"/>
                <w:color w:val="auto"/>
                <w:kern w:val="0"/>
                <w:sz w:val="32"/>
                <w:szCs w:val="32"/>
                <w:highlight w:val="none"/>
                <w:u w:val="none"/>
                <w:lang w:val="en-US" w:eastAsia="zh-CN"/>
              </w:rPr>
              <w:t>装置观景类设备投入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i w:val="0"/>
                <w:iCs w:val="0"/>
                <w:color w:val="auto"/>
                <w:kern w:val="0"/>
                <w:sz w:val="32"/>
                <w:szCs w:val="32"/>
                <w:highlight w:val="none"/>
                <w:u w:val="none"/>
                <w:lang w:val="en-US" w:eastAsia="zh-CN"/>
              </w:rPr>
              <w:t>约600万元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15</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停车场工程投入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16</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弱电工程投入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17</w:t>
            </w:r>
          </w:p>
        </w:tc>
        <w:tc>
          <w:tcPr>
            <w:tcW w:w="4686" w:type="dxa"/>
            <w:vAlign w:val="center"/>
          </w:tcPr>
          <w:p>
            <w:pPr>
              <w:pStyle w:val="3"/>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kern w:val="2"/>
                <w:sz w:val="32"/>
                <w:szCs w:val="32"/>
                <w:highlight w:val="none"/>
                <w:lang w:val="en-US" w:eastAsia="zh-CN" w:bidi="ar-SA"/>
              </w:rPr>
              <w:t>其它零星修复工程预计投入</w:t>
            </w:r>
          </w:p>
        </w:tc>
        <w:tc>
          <w:tcPr>
            <w:tcW w:w="2567"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约300万元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dxa"/>
            <w:vAlign w:val="center"/>
          </w:tcPr>
          <w:p>
            <w:pPr>
              <w:pStyle w:val="3"/>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kern w:val="2"/>
                <w:sz w:val="32"/>
                <w:szCs w:val="32"/>
                <w:highlight w:val="none"/>
                <w:lang w:val="en-US" w:eastAsia="zh-CN" w:bidi="ar-SA"/>
              </w:rPr>
              <w:t>合计</w:t>
            </w:r>
          </w:p>
        </w:tc>
        <w:tc>
          <w:tcPr>
            <w:tcW w:w="4686" w:type="dxa"/>
            <w:vAlign w:val="center"/>
          </w:tcPr>
          <w:p>
            <w:pPr>
              <w:pStyle w:val="3"/>
              <w:jc w:val="center"/>
              <w:rPr>
                <w:rFonts w:hint="eastAsia" w:ascii="仿宋" w:hAnsi="仿宋" w:eastAsia="仿宋" w:cs="仿宋"/>
                <w:color w:val="auto"/>
                <w:kern w:val="2"/>
                <w:sz w:val="32"/>
                <w:szCs w:val="32"/>
                <w:highlight w:val="none"/>
                <w:lang w:val="en-US" w:eastAsia="zh-CN" w:bidi="ar-SA"/>
              </w:rPr>
            </w:pPr>
          </w:p>
        </w:tc>
        <w:tc>
          <w:tcPr>
            <w:tcW w:w="2567" w:type="dxa"/>
            <w:vAlign w:val="center"/>
          </w:tcPr>
          <w:p>
            <w:pPr>
              <w:pStyle w:val="3"/>
              <w:jc w:val="center"/>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约1.3亿元</w:t>
            </w:r>
          </w:p>
        </w:tc>
      </w:tr>
    </w:tbl>
    <w:p>
      <w:pPr>
        <w:pStyle w:val="3"/>
        <w:numPr>
          <w:ilvl w:val="0"/>
          <w:numId w:val="0"/>
        </w:numPr>
        <w:rPr>
          <w:rFonts w:hint="eastAsia" w:ascii="仿宋" w:hAnsi="仿宋" w:eastAsia="仿宋" w:cs="仿宋"/>
          <w:b/>
          <w:bCs/>
          <w:color w:val="auto"/>
          <w:kern w:val="2"/>
          <w:sz w:val="32"/>
          <w:szCs w:val="32"/>
          <w:highlight w:val="none"/>
          <w:lang w:val="en-US" w:eastAsia="zh-CN" w:bidi="ar-SA"/>
        </w:rPr>
      </w:pPr>
    </w:p>
    <w:p>
      <w:pPr>
        <w:pStyle w:val="3"/>
        <w:numPr>
          <w:ilvl w:val="0"/>
          <w:numId w:val="0"/>
        </w:numPr>
        <w:ind w:leftChars="0" w:firstLine="643" w:firstLineChars="200"/>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五、项目建设内容</w:t>
      </w:r>
    </w:p>
    <w:p>
      <w:pPr>
        <w:tabs>
          <w:tab w:val="left" w:pos="1093"/>
        </w:tabs>
        <w:ind w:firstLine="640" w:firstLineChars="200"/>
        <w:rPr>
          <w:rFonts w:hint="eastAsia" w:ascii="仿宋" w:hAnsi="仿宋" w:eastAsia="仿宋" w:cs="仿宋"/>
          <w:color w:val="auto"/>
          <w:highlight w:val="none"/>
          <w:lang w:val="en-US" w:eastAsia="zh-CN"/>
        </w:rPr>
      </w:pPr>
      <w:r>
        <w:rPr>
          <w:rFonts w:hint="eastAsia" w:ascii="仿宋" w:hAnsi="仿宋" w:eastAsia="仿宋" w:cs="仿宋"/>
          <w:color w:val="auto"/>
          <w:kern w:val="2"/>
          <w:sz w:val="32"/>
          <w:szCs w:val="32"/>
          <w:highlight w:val="none"/>
          <w:lang w:val="en-US" w:eastAsia="zh-CN" w:bidi="ar-SA"/>
        </w:rPr>
        <w:t>根据</w:t>
      </w:r>
      <w:r>
        <w:rPr>
          <w:rFonts w:hint="eastAsia" w:ascii="仿宋" w:hAnsi="仿宋" w:eastAsia="仿宋" w:cs="仿宋"/>
          <w:color w:val="auto"/>
          <w:sz w:val="32"/>
          <w:szCs w:val="32"/>
          <w:highlight w:val="none"/>
          <w:lang w:val="en-US" w:eastAsia="zh-CN"/>
        </w:rPr>
        <w:t>旧厂房功能改变类微改造要求，将不进行拆除建筑物工程，在原有建筑基础上进行功能性改造。本公司</w:t>
      </w:r>
      <w:r>
        <w:rPr>
          <w:rFonts w:hint="eastAsia" w:ascii="仿宋" w:hAnsi="仿宋" w:eastAsia="仿宋" w:cs="仿宋"/>
          <w:color w:val="auto"/>
          <w:kern w:val="2"/>
          <w:sz w:val="32"/>
          <w:szCs w:val="32"/>
          <w:highlight w:val="none"/>
          <w:lang w:val="en-US" w:eastAsia="zh-CN" w:bidi="ar-SA"/>
        </w:rPr>
        <w:t>聘请第三方广东合准检测鉴定有限公司对建筑物安全鉴定检测，并出具了检测报告。</w:t>
      </w:r>
    </w:p>
    <w:p>
      <w:pPr>
        <w:tabs>
          <w:tab w:val="left" w:pos="1093"/>
        </w:tabs>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（一）消防工程：根据目前商业运营要求，设计消防车道，投入增加消防水箱，消防监控室，消防栓，喷淋，烟感系统，消防梯等设备，按商业运营标准施工，并通过消防部门审批。</w:t>
      </w:r>
    </w:p>
    <w:p>
      <w:pPr>
        <w:tabs>
          <w:tab w:val="left" w:pos="1093"/>
        </w:tabs>
        <w:ind w:firstLine="640" w:firstLineChars="20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（二）市政环保工程：根据商业运营标准，园区内排污系统，排水系统重新设计，安装施工，排污管和排水管分别接入指定市政污水和雨水接入口,分流制排水系统是将</w:t>
      </w:r>
      <w:r>
        <w:rPr>
          <w:rFonts w:hint="eastAsia" w:ascii="仿宋" w:hAnsi="仿宋" w:eastAsia="仿宋" w:cs="仿宋"/>
          <w:color w:val="auto"/>
          <w:kern w:val="2"/>
          <w:sz w:val="32"/>
          <w:szCs w:val="32"/>
          <w:highlight w:val="none"/>
          <w:lang w:val="en-US" w:eastAsia="zh-CN" w:bidi="ar-SA"/>
        </w:rPr>
        <w:fldChar w:fldCharType="begin"/>
      </w:r>
      <w:r>
        <w:rPr>
          <w:rFonts w:hint="eastAsia" w:ascii="仿宋" w:hAnsi="仿宋" w:eastAsia="仿宋" w:cs="仿宋"/>
          <w:color w:val="auto"/>
          <w:kern w:val="2"/>
          <w:sz w:val="32"/>
          <w:szCs w:val="32"/>
          <w:highlight w:val="none"/>
          <w:lang w:val="en-US" w:eastAsia="zh-CN" w:bidi="ar-SA"/>
        </w:rPr>
        <w:instrText xml:space="preserve"> HYPERLINK "https://baike.baidu.com/item/%E7%94%9F%E6%B4%BB%E6%B1%A1%E6%B0%B4/10863592?fromModule=lemma_inlink" \t "https://baike.baidu.com/item/%E5%88%86%E6%B5%81%E5%88%B6%E6%8E%92%E6%B0%B4%E7%B3%BB%E7%BB%9F/_blank" </w:instrText>
      </w:r>
      <w:r>
        <w:rPr>
          <w:rFonts w:hint="eastAsia" w:ascii="仿宋" w:hAnsi="仿宋" w:eastAsia="仿宋" w:cs="仿宋"/>
          <w:color w:val="auto"/>
          <w:kern w:val="2"/>
          <w:sz w:val="32"/>
          <w:szCs w:val="32"/>
          <w:highlight w:val="none"/>
          <w:lang w:val="en-US" w:eastAsia="zh-CN" w:bidi="ar-SA"/>
        </w:rPr>
        <w:fldChar w:fldCharType="separate"/>
      </w:r>
      <w:r>
        <w:rPr>
          <w:rFonts w:hint="eastAsia" w:ascii="仿宋" w:hAnsi="仿宋" w:eastAsia="仿宋" w:cs="仿宋"/>
          <w:color w:val="auto"/>
          <w:kern w:val="2"/>
          <w:sz w:val="32"/>
          <w:szCs w:val="32"/>
          <w:highlight w:val="none"/>
          <w:lang w:val="en-US" w:eastAsia="zh-CN" w:bidi="ar-SA"/>
        </w:rPr>
        <w:t>生活污水</w:t>
      </w:r>
      <w:r>
        <w:rPr>
          <w:rFonts w:hint="eastAsia" w:ascii="仿宋" w:hAnsi="仿宋" w:eastAsia="仿宋" w:cs="仿宋"/>
          <w:color w:val="auto"/>
          <w:kern w:val="2"/>
          <w:sz w:val="32"/>
          <w:szCs w:val="32"/>
          <w:highlight w:val="none"/>
          <w:lang w:val="en-US" w:eastAsia="zh-CN" w:bidi="ar-SA"/>
        </w:rPr>
        <w:fldChar w:fldCharType="end"/>
      </w:r>
      <w:r>
        <w:rPr>
          <w:rFonts w:hint="eastAsia" w:ascii="仿宋" w:hAnsi="仿宋" w:eastAsia="仿宋" w:cs="仿宋"/>
          <w:color w:val="auto"/>
          <w:kern w:val="2"/>
          <w:sz w:val="32"/>
          <w:szCs w:val="32"/>
          <w:highlight w:val="none"/>
          <w:lang w:val="en-US" w:eastAsia="zh-CN" w:bidi="ar-SA"/>
        </w:rPr>
        <w:t>、</w:t>
      </w:r>
      <w:r>
        <w:rPr>
          <w:rFonts w:hint="eastAsia" w:ascii="仿宋" w:hAnsi="仿宋" w:eastAsia="仿宋" w:cs="仿宋"/>
          <w:color w:val="auto"/>
          <w:kern w:val="2"/>
          <w:sz w:val="32"/>
          <w:szCs w:val="32"/>
          <w:highlight w:val="none"/>
          <w:lang w:val="en-US" w:eastAsia="zh-CN" w:bidi="ar-SA"/>
        </w:rPr>
        <w:fldChar w:fldCharType="begin"/>
      </w:r>
      <w:r>
        <w:rPr>
          <w:rFonts w:hint="eastAsia" w:ascii="仿宋" w:hAnsi="仿宋" w:eastAsia="仿宋" w:cs="仿宋"/>
          <w:color w:val="auto"/>
          <w:kern w:val="2"/>
          <w:sz w:val="32"/>
          <w:szCs w:val="32"/>
          <w:highlight w:val="none"/>
          <w:lang w:val="en-US" w:eastAsia="zh-CN" w:bidi="ar-SA"/>
        </w:rPr>
        <w:instrText xml:space="preserve"> HYPERLINK "https://baike.baidu.com/item/%E5%B7%A5%E4%B8%9A%E5%BA%9F%E6%B0%B4/10863599?fromModule=lemma_inlink" \t "https://baike.baidu.com/item/%E5%88%86%E6%B5%81%E5%88%B6%E6%8E%92%E6%B0%B4%E7%B3%BB%E7%BB%9F/_blank" </w:instrText>
      </w:r>
      <w:r>
        <w:rPr>
          <w:rFonts w:hint="eastAsia" w:ascii="仿宋" w:hAnsi="仿宋" w:eastAsia="仿宋" w:cs="仿宋"/>
          <w:color w:val="auto"/>
          <w:kern w:val="2"/>
          <w:sz w:val="32"/>
          <w:szCs w:val="32"/>
          <w:highlight w:val="none"/>
          <w:lang w:val="en-US" w:eastAsia="zh-CN" w:bidi="ar-SA"/>
        </w:rPr>
        <w:fldChar w:fldCharType="separate"/>
      </w:r>
      <w:r>
        <w:rPr>
          <w:rFonts w:hint="eastAsia" w:ascii="仿宋" w:hAnsi="仿宋" w:eastAsia="仿宋" w:cs="仿宋"/>
          <w:color w:val="auto"/>
          <w:kern w:val="2"/>
          <w:sz w:val="32"/>
          <w:szCs w:val="32"/>
          <w:highlight w:val="none"/>
          <w:lang w:val="en-US" w:eastAsia="zh-CN" w:bidi="ar-SA"/>
        </w:rPr>
        <w:t>工业废水</w:t>
      </w:r>
      <w:r>
        <w:rPr>
          <w:rFonts w:hint="eastAsia" w:ascii="仿宋" w:hAnsi="仿宋" w:eastAsia="仿宋" w:cs="仿宋"/>
          <w:color w:val="auto"/>
          <w:kern w:val="2"/>
          <w:sz w:val="32"/>
          <w:szCs w:val="32"/>
          <w:highlight w:val="none"/>
          <w:lang w:val="en-US" w:eastAsia="zh-CN" w:bidi="ar-SA"/>
        </w:rPr>
        <w:fldChar w:fldCharType="end"/>
      </w:r>
      <w:r>
        <w:rPr>
          <w:rFonts w:hint="eastAsia" w:ascii="仿宋" w:hAnsi="仿宋" w:eastAsia="仿宋" w:cs="仿宋"/>
          <w:color w:val="auto"/>
          <w:kern w:val="2"/>
          <w:sz w:val="32"/>
          <w:szCs w:val="32"/>
          <w:highlight w:val="none"/>
          <w:lang w:val="en-US" w:eastAsia="zh-CN" w:bidi="ar-SA"/>
        </w:rPr>
        <w:t>和雨水分别在两个或两个以上各自独立的管道内排除的系统。排除生活污水、工业废水或城市污水的系统称为污水排水系统；排除雨水的系统称为雨水排水系统。根据目前商业运营的需求，本项目将采用雨水排水系统、污水排水系统完全分流方式进行施工。</w:t>
      </w:r>
    </w:p>
    <w:p>
      <w:pPr>
        <w:tabs>
          <w:tab w:val="left" w:pos="1093"/>
        </w:tabs>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（三）用电工程：根据园区平面布局用电需求，按标准设计安装用电设备。对园区园林绿化、道路、地面、照明、亮化进行升级改造。</w:t>
      </w:r>
    </w:p>
    <w:p>
      <w:pPr>
        <w:tabs>
          <w:tab w:val="left" w:pos="1093"/>
        </w:tabs>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景观美化：为满足游人观赏或者休憩等需要而设立的建筑、设备等园林设施，满足游人健身、亲子游乐需要设立的游乐健身设施；为观赏、休憩需要设立的各式景观小品，还有种植需要的种植设施等等。根据不同需要建立适当的设施，无疑能给景观设计作品更添一分光彩。建造多个景观装置，网红打卡点，让游客拍照留念。</w:t>
      </w:r>
    </w:p>
    <w:p>
      <w:pPr>
        <w:tabs>
          <w:tab w:val="left" w:pos="1093"/>
        </w:tabs>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停车场：建设3个大型停车场地块，南头镇资产投资经营有限公司名下用地一：国有商业住宅用地（土地使用权证号为中府国用（2008）第020551号，土地面积为15030.4平方米，用地二：国有存量建设用地，批复文号为中国土地政函（2012）1869号，批准土地面积为3054.9平方米，两宗连片用地目前已平整、空置，扣除规划道路后剩余可交付使用的土地面积约12376.69平方米，本公司负责依法依规进行停车场混凝土地面及其停车场设施工程、绿化配套工程、照明工程、排水工程等投入建设，停车场建成后需对公众全面开放，预计约提供600个停车位，优化周边停车环境。</w:t>
      </w:r>
    </w:p>
    <w:p>
      <w:pPr>
        <w:tabs>
          <w:tab w:val="left" w:pos="1093"/>
        </w:tabs>
        <w:ind w:firstLine="643"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六、项目改造进度</w:t>
      </w:r>
    </w:p>
    <w:p>
      <w:pPr>
        <w:pStyle w:val="3"/>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根据项目整体规划要求，将在取得改造方案批复后立即办理建设工程规划许可证，2024年1月前，完成园区内建筑物加固、外立面维修等工程，并交付入驻商家进行室内装修，同步进行供水、供电、燃气、热力、排水、通信等工程报装手续，2024年5月前完成消防、排污排水等工程，并申请园区营业，具体如下：</w:t>
      </w:r>
    </w:p>
    <w:tbl>
      <w:tblPr>
        <w:tblStyle w:val="6"/>
        <w:tblpPr w:leftFromText="180" w:rightFromText="180" w:vertAnchor="text" w:horzAnchor="page" w:tblpX="2227" w:tblpY="1059"/>
        <w:tblOverlap w:val="never"/>
        <w:tblW w:w="85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75"/>
        <w:gridCol w:w="2021"/>
        <w:gridCol w:w="2022"/>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lang w:val="en-US" w:eastAsia="zh-CN"/>
              </w:rPr>
            </w:pPr>
            <w:r>
              <w:rPr>
                <w:rFonts w:hint="eastAsia" w:ascii="仿宋" w:hAnsi="仿宋" w:eastAsia="仿宋" w:cs="仿宋"/>
                <w:b/>
                <w:bCs/>
                <w:i w:val="0"/>
                <w:iCs w:val="0"/>
                <w:color w:val="auto"/>
                <w:sz w:val="32"/>
                <w:szCs w:val="32"/>
                <w:highlight w:val="none"/>
                <w:u w:val="none"/>
                <w:lang w:val="en-US" w:eastAsia="zh-CN"/>
              </w:rPr>
              <w:t>改造工程</w:t>
            </w:r>
          </w:p>
        </w:tc>
        <w:tc>
          <w:tcPr>
            <w:tcW w:w="404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lang w:val="en-US" w:eastAsia="zh-CN"/>
              </w:rPr>
            </w:pPr>
            <w:r>
              <w:rPr>
                <w:rFonts w:hint="eastAsia" w:ascii="仿宋" w:hAnsi="仿宋" w:eastAsia="仿宋" w:cs="仿宋"/>
                <w:i w:val="0"/>
                <w:iCs w:val="0"/>
                <w:color w:val="auto"/>
                <w:sz w:val="32"/>
                <w:szCs w:val="32"/>
                <w:highlight w:val="none"/>
                <w:u w:val="none"/>
                <w:lang w:val="en-US" w:eastAsia="zh-CN"/>
              </w:rPr>
              <w:t>日期（起止）</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lang w:val="en-US" w:eastAsia="zh-CN"/>
              </w:rPr>
            </w:pPr>
            <w:r>
              <w:rPr>
                <w:rFonts w:hint="eastAsia" w:ascii="仿宋" w:hAnsi="仿宋" w:eastAsia="仿宋" w:cs="仿宋"/>
                <w:b/>
                <w:bCs/>
                <w:i w:val="0"/>
                <w:iCs w:val="0"/>
                <w:color w:val="auto"/>
                <w:sz w:val="32"/>
                <w:szCs w:val="32"/>
                <w:highlight w:val="none"/>
                <w:u w:val="none"/>
                <w:lang w:val="en-US" w:eastAsia="zh-CN"/>
              </w:rPr>
              <w:t>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1号楼外立面</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2023/10/20</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2023/12/31</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消防图纸完善</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2023/9/1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2023/11/30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排污排水图纸完善</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2023/8/1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2023/10/30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消防工程施工</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2023/12/1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2024/4/30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钢结构工程</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2023/11/1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2024/4/30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排污排水工程</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2023/11/1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2024/1/30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用电图纸（高低压）</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2023/11/1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2023/12/30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用电工程施工</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2024/1/15</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2024/4/30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给水工程</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2024/2/1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2024/4/30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电梯</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2024/3/1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2024/4/30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弱电工程</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2024/1/1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2024/4/30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园林绿化</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2024/2/1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2024/4/30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地面工程</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2024/2/1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2024/5/30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政府停车场</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2023/9/15</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2024/2/28</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供销社方案/施工</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2023/9/20</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2023/12/30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公共卫生间</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2024/3/1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2024/3/30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2"/>
                <w:szCs w:val="32"/>
                <w:highlight w:val="none"/>
                <w:u w:val="none"/>
              </w:rPr>
            </w:pPr>
            <w:r>
              <w:rPr>
                <w:rFonts w:hint="eastAsia" w:ascii="仿宋" w:hAnsi="仿宋" w:eastAsia="仿宋" w:cs="仿宋"/>
                <w:i w:val="0"/>
                <w:iCs w:val="0"/>
                <w:color w:val="auto"/>
                <w:kern w:val="0"/>
                <w:sz w:val="32"/>
                <w:szCs w:val="32"/>
                <w:highlight w:val="none"/>
                <w:u w:val="none"/>
                <w:lang w:val="en-US" w:eastAsia="zh-CN"/>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3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32"/>
                <w:szCs w:val="32"/>
                <w:highlight w:val="none"/>
                <w:u w:val="none"/>
                <w:lang w:val="en-US" w:eastAsia="zh-CN"/>
              </w:rPr>
            </w:pPr>
            <w:r>
              <w:rPr>
                <w:rFonts w:hint="eastAsia" w:ascii="仿宋" w:hAnsi="仿宋" w:eastAsia="仿宋" w:cs="仿宋"/>
                <w:i w:val="0"/>
                <w:iCs w:val="0"/>
                <w:color w:val="auto"/>
                <w:kern w:val="0"/>
                <w:sz w:val="32"/>
                <w:szCs w:val="32"/>
                <w:highlight w:val="none"/>
                <w:u w:val="none"/>
                <w:lang w:val="en-US" w:eastAsia="zh-CN"/>
              </w:rPr>
              <w:t>装置观景类设备</w:t>
            </w:r>
          </w:p>
        </w:tc>
        <w:tc>
          <w:tcPr>
            <w:tcW w:w="20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32"/>
                <w:szCs w:val="32"/>
                <w:highlight w:val="none"/>
                <w:u w:val="none"/>
                <w:lang w:val="en-US" w:eastAsia="zh-CN"/>
              </w:rPr>
            </w:pPr>
            <w:r>
              <w:rPr>
                <w:rFonts w:hint="eastAsia" w:ascii="仿宋" w:hAnsi="仿宋" w:eastAsia="仿宋" w:cs="仿宋"/>
                <w:i w:val="0"/>
                <w:iCs w:val="0"/>
                <w:color w:val="auto"/>
                <w:kern w:val="0"/>
                <w:sz w:val="32"/>
                <w:szCs w:val="32"/>
                <w:highlight w:val="none"/>
                <w:u w:val="none"/>
                <w:lang w:val="en-US" w:eastAsia="zh-CN"/>
              </w:rPr>
              <w:t>2023/8/1</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32"/>
                <w:szCs w:val="32"/>
                <w:highlight w:val="none"/>
                <w:u w:val="none"/>
                <w:lang w:val="en-US" w:eastAsia="zh-CN"/>
              </w:rPr>
            </w:pPr>
            <w:r>
              <w:rPr>
                <w:rFonts w:hint="eastAsia" w:ascii="仿宋" w:hAnsi="仿宋" w:eastAsia="仿宋" w:cs="仿宋"/>
                <w:i w:val="0"/>
                <w:iCs w:val="0"/>
                <w:color w:val="auto"/>
                <w:kern w:val="0"/>
                <w:sz w:val="32"/>
                <w:szCs w:val="32"/>
                <w:highlight w:val="none"/>
                <w:u w:val="none"/>
                <w:lang w:val="en-US" w:eastAsia="zh-CN"/>
              </w:rPr>
              <w:t>2024/5/30</w:t>
            </w:r>
          </w:p>
        </w:tc>
        <w:tc>
          <w:tcPr>
            <w:tcW w:w="1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32"/>
                <w:szCs w:val="32"/>
                <w:highlight w:val="none"/>
                <w:u w:val="none"/>
                <w:lang w:val="en-US" w:eastAsia="zh-CN"/>
              </w:rPr>
            </w:pPr>
            <w:r>
              <w:rPr>
                <w:rFonts w:hint="eastAsia" w:ascii="仿宋" w:hAnsi="仿宋" w:eastAsia="仿宋" w:cs="仿宋"/>
                <w:i w:val="0"/>
                <w:iCs w:val="0"/>
                <w:color w:val="auto"/>
                <w:kern w:val="0"/>
                <w:sz w:val="32"/>
                <w:szCs w:val="32"/>
                <w:highlight w:val="none"/>
                <w:u w:val="none"/>
                <w:lang w:val="en-US" w:eastAsia="zh-CN"/>
              </w:rPr>
              <w:t>303</w:t>
            </w:r>
          </w:p>
        </w:tc>
      </w:tr>
    </w:tbl>
    <w:p>
      <w:pPr>
        <w:pStyle w:val="3"/>
        <w:numPr>
          <w:ilvl w:val="0"/>
          <w:numId w:val="0"/>
        </w:num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七、项目经营内容</w:t>
      </w:r>
    </w:p>
    <w:p>
      <w:pPr>
        <w:pStyle w:val="3"/>
        <w:numPr>
          <w:ilvl w:val="0"/>
          <w:numId w:val="0"/>
        </w:num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项目建造运营后，主要商家业态为：</w:t>
      </w:r>
    </w:p>
    <w:p>
      <w:pPr>
        <w:pStyle w:val="3"/>
        <w:numPr>
          <w:ilvl w:val="0"/>
          <w:numId w:val="0"/>
        </w:numPr>
        <w:spacing w:line="240" w:lineRule="auto"/>
        <w:ind w:firstLine="640" w:firstLineChars="200"/>
        <w:jc w:val="left"/>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（一）餐饮类：例如</w:t>
      </w:r>
      <w:r>
        <w:rPr>
          <w:rFonts w:hint="eastAsia" w:ascii="仿宋" w:hAnsi="仿宋" w:eastAsia="仿宋" w:cs="仿宋"/>
          <w:b w:val="0"/>
          <w:bCs w:val="0"/>
          <w:color w:val="auto"/>
          <w:sz w:val="32"/>
          <w:szCs w:val="32"/>
          <w:highlight w:val="none"/>
          <w:lang w:val="en-US" w:eastAsia="zh-CN"/>
        </w:rPr>
        <w:fldChar w:fldCharType="begin"/>
      </w:r>
      <w:r>
        <w:rPr>
          <w:rFonts w:hint="eastAsia" w:ascii="仿宋" w:hAnsi="仿宋" w:eastAsia="仿宋" w:cs="仿宋"/>
          <w:b w:val="0"/>
          <w:bCs w:val="0"/>
          <w:color w:val="auto"/>
          <w:sz w:val="32"/>
          <w:szCs w:val="32"/>
          <w:highlight w:val="none"/>
          <w:lang w:val="en-US" w:eastAsia="zh-CN"/>
        </w:rPr>
        <w:instrText xml:space="preserve"> HYPERLINK "https://baike.baidu.com/item/%E6%97%85%E6%B8%B8%E9%A5%AD%E5%BA%97/3927409?fromModule=lemma_inlink" \t "https://baike.baidu.com/item/%E9%A4%90%E9%A5%AE%E4%B8%9A/_blank" </w:instrText>
      </w:r>
      <w:r>
        <w:rPr>
          <w:rFonts w:hint="eastAsia" w:ascii="仿宋" w:hAnsi="仿宋" w:eastAsia="仿宋" w:cs="仿宋"/>
          <w:b w:val="0"/>
          <w:bCs w:val="0"/>
          <w:color w:val="auto"/>
          <w:sz w:val="32"/>
          <w:szCs w:val="32"/>
          <w:highlight w:val="none"/>
          <w:lang w:val="en-US" w:eastAsia="zh-CN"/>
        </w:rPr>
        <w:fldChar w:fldCharType="separate"/>
      </w:r>
      <w:r>
        <w:rPr>
          <w:rFonts w:hint="eastAsia" w:ascii="仿宋" w:hAnsi="仿宋" w:eastAsia="仿宋" w:cs="仿宋"/>
          <w:b w:val="0"/>
          <w:bCs w:val="0"/>
          <w:color w:val="auto"/>
          <w:sz w:val="32"/>
          <w:szCs w:val="32"/>
          <w:highlight w:val="none"/>
          <w:lang w:val="en-US" w:eastAsia="zh-CN"/>
        </w:rPr>
        <w:t>饭店</w:t>
      </w:r>
      <w:r>
        <w:rPr>
          <w:rFonts w:hint="eastAsia" w:ascii="仿宋" w:hAnsi="仿宋" w:eastAsia="仿宋" w:cs="仿宋"/>
          <w:b w:val="0"/>
          <w:bCs w:val="0"/>
          <w:color w:val="auto"/>
          <w:sz w:val="32"/>
          <w:szCs w:val="32"/>
          <w:highlight w:val="none"/>
          <w:lang w:val="en-US" w:eastAsia="zh-CN"/>
        </w:rPr>
        <w:fldChar w:fldCharType="end"/>
      </w:r>
      <w:r>
        <w:rPr>
          <w:rFonts w:hint="eastAsia" w:ascii="仿宋" w:hAnsi="仿宋" w:eastAsia="仿宋" w:cs="仿宋"/>
          <w:b w:val="0"/>
          <w:bCs w:val="0"/>
          <w:color w:val="auto"/>
          <w:sz w:val="32"/>
          <w:szCs w:val="32"/>
          <w:highlight w:val="none"/>
          <w:lang w:val="en-US" w:eastAsia="zh-CN"/>
        </w:rPr>
        <w:t>、餐厅( 中餐、西餐) 、自助餐和</w:t>
      </w:r>
      <w:r>
        <w:rPr>
          <w:rFonts w:hint="eastAsia" w:ascii="仿宋" w:hAnsi="仿宋" w:eastAsia="仿宋" w:cs="仿宋"/>
          <w:b w:val="0"/>
          <w:bCs w:val="0"/>
          <w:color w:val="auto"/>
          <w:sz w:val="32"/>
          <w:szCs w:val="32"/>
          <w:highlight w:val="none"/>
          <w:lang w:val="en-US" w:eastAsia="zh-CN"/>
        </w:rPr>
        <w:fldChar w:fldCharType="begin"/>
      </w:r>
      <w:r>
        <w:rPr>
          <w:rFonts w:hint="eastAsia" w:ascii="仿宋" w:hAnsi="仿宋" w:eastAsia="仿宋" w:cs="仿宋"/>
          <w:b w:val="0"/>
          <w:bCs w:val="0"/>
          <w:color w:val="auto"/>
          <w:sz w:val="32"/>
          <w:szCs w:val="32"/>
          <w:highlight w:val="none"/>
          <w:lang w:val="en-US" w:eastAsia="zh-CN"/>
        </w:rPr>
        <w:instrText xml:space="preserve"> HYPERLINK "https://baike.baidu.com/item/%E7%9B%92%E9%A5%AD/49029?fromModule=lemma_inlink" \t "https://baike.baidu.com/item/%E9%A4%90%E9%A5%AE%E4%B8%9A/_blank" </w:instrText>
      </w:r>
      <w:r>
        <w:rPr>
          <w:rFonts w:hint="eastAsia" w:ascii="仿宋" w:hAnsi="仿宋" w:eastAsia="仿宋" w:cs="仿宋"/>
          <w:b w:val="0"/>
          <w:bCs w:val="0"/>
          <w:color w:val="auto"/>
          <w:sz w:val="32"/>
          <w:szCs w:val="32"/>
          <w:highlight w:val="none"/>
          <w:lang w:val="en-US" w:eastAsia="zh-CN"/>
        </w:rPr>
        <w:fldChar w:fldCharType="separate"/>
      </w:r>
      <w:r>
        <w:rPr>
          <w:rFonts w:hint="eastAsia" w:ascii="仿宋" w:hAnsi="仿宋" w:eastAsia="仿宋" w:cs="仿宋"/>
          <w:b w:val="0"/>
          <w:bCs w:val="0"/>
          <w:color w:val="auto"/>
          <w:sz w:val="32"/>
          <w:szCs w:val="32"/>
          <w:highlight w:val="none"/>
          <w:lang w:val="en-US" w:eastAsia="zh-CN"/>
        </w:rPr>
        <w:t>盒饭</w:t>
      </w:r>
      <w:r>
        <w:rPr>
          <w:rFonts w:hint="eastAsia" w:ascii="仿宋" w:hAnsi="仿宋" w:eastAsia="仿宋" w:cs="仿宋"/>
          <w:b w:val="0"/>
          <w:bCs w:val="0"/>
          <w:color w:val="auto"/>
          <w:sz w:val="32"/>
          <w:szCs w:val="32"/>
          <w:highlight w:val="none"/>
          <w:lang w:val="en-US" w:eastAsia="zh-CN"/>
        </w:rPr>
        <w:fldChar w:fldCharType="end"/>
      </w:r>
      <w:r>
        <w:rPr>
          <w:rFonts w:hint="eastAsia" w:ascii="仿宋" w:hAnsi="仿宋" w:eastAsia="仿宋" w:cs="仿宋"/>
          <w:b w:val="0"/>
          <w:bCs w:val="0"/>
          <w:color w:val="auto"/>
          <w:sz w:val="32"/>
          <w:szCs w:val="32"/>
          <w:highlight w:val="none"/>
          <w:lang w:val="en-US" w:eastAsia="zh-CN"/>
        </w:rPr>
        <w:t>业、冷饮业和</w:t>
      </w:r>
      <w:r>
        <w:rPr>
          <w:rFonts w:hint="eastAsia" w:ascii="仿宋" w:hAnsi="仿宋" w:eastAsia="仿宋" w:cs="仿宋"/>
          <w:b w:val="0"/>
          <w:bCs w:val="0"/>
          <w:color w:val="auto"/>
          <w:sz w:val="32"/>
          <w:szCs w:val="32"/>
          <w:highlight w:val="none"/>
          <w:lang w:val="en-US" w:eastAsia="zh-CN"/>
        </w:rPr>
        <w:fldChar w:fldCharType="begin"/>
      </w:r>
      <w:r>
        <w:rPr>
          <w:rFonts w:hint="eastAsia" w:ascii="仿宋" w:hAnsi="仿宋" w:eastAsia="仿宋" w:cs="仿宋"/>
          <w:b w:val="0"/>
          <w:bCs w:val="0"/>
          <w:color w:val="auto"/>
          <w:sz w:val="32"/>
          <w:szCs w:val="32"/>
          <w:highlight w:val="none"/>
          <w:lang w:val="en-US" w:eastAsia="zh-CN"/>
        </w:rPr>
        <w:instrText xml:space="preserve"> HYPERLINK "https://baike.baidu.com/item/%E6%91%8A%E8%B4%A9/3625469?fromModule=lemma_inlink" \t "https://baike.baidu.com/item/%E9%A4%90%E9%A5%AE%E4%B8%9A/_blank" </w:instrText>
      </w:r>
      <w:r>
        <w:rPr>
          <w:rFonts w:hint="eastAsia" w:ascii="仿宋" w:hAnsi="仿宋" w:eastAsia="仿宋" w:cs="仿宋"/>
          <w:b w:val="0"/>
          <w:bCs w:val="0"/>
          <w:color w:val="auto"/>
          <w:sz w:val="32"/>
          <w:szCs w:val="32"/>
          <w:highlight w:val="none"/>
          <w:lang w:val="en-US" w:eastAsia="zh-CN"/>
        </w:rPr>
        <w:fldChar w:fldCharType="separate"/>
      </w:r>
      <w:r>
        <w:rPr>
          <w:rFonts w:hint="eastAsia" w:ascii="仿宋" w:hAnsi="仿宋" w:eastAsia="仿宋" w:cs="仿宋"/>
          <w:b w:val="0"/>
          <w:bCs w:val="0"/>
          <w:color w:val="auto"/>
          <w:sz w:val="32"/>
          <w:szCs w:val="32"/>
          <w:highlight w:val="none"/>
          <w:lang w:val="en-US" w:eastAsia="zh-CN"/>
        </w:rPr>
        <w:t>摊贩</w:t>
      </w:r>
      <w:r>
        <w:rPr>
          <w:rFonts w:hint="eastAsia" w:ascii="仿宋" w:hAnsi="仿宋" w:eastAsia="仿宋" w:cs="仿宋"/>
          <w:b w:val="0"/>
          <w:bCs w:val="0"/>
          <w:color w:val="auto"/>
          <w:sz w:val="32"/>
          <w:szCs w:val="32"/>
          <w:highlight w:val="none"/>
          <w:lang w:val="en-US" w:eastAsia="zh-CN"/>
        </w:rPr>
        <w:fldChar w:fldCharType="end"/>
      </w:r>
      <w:r>
        <w:rPr>
          <w:rFonts w:hint="eastAsia" w:ascii="仿宋" w:hAnsi="仿宋" w:eastAsia="仿宋" w:cs="仿宋"/>
          <w:b w:val="0"/>
          <w:bCs w:val="0"/>
          <w:color w:val="auto"/>
          <w:sz w:val="32"/>
          <w:szCs w:val="32"/>
          <w:highlight w:val="none"/>
          <w:lang w:val="en-US" w:eastAsia="zh-CN"/>
        </w:rPr>
        <w:t>五大类。具体又分为三种类型: 便利型大众</w:t>
      </w:r>
      <w:r>
        <w:rPr>
          <w:rFonts w:hint="eastAsia" w:ascii="仿宋" w:hAnsi="仿宋" w:eastAsia="仿宋" w:cs="仿宋"/>
          <w:b w:val="0"/>
          <w:bCs w:val="0"/>
          <w:color w:val="auto"/>
          <w:sz w:val="32"/>
          <w:szCs w:val="32"/>
          <w:highlight w:val="none"/>
          <w:lang w:val="en-US" w:eastAsia="zh-CN"/>
        </w:rPr>
        <w:fldChar w:fldCharType="begin"/>
      </w:r>
      <w:r>
        <w:rPr>
          <w:rFonts w:hint="eastAsia" w:ascii="仿宋" w:hAnsi="仿宋" w:eastAsia="仿宋" w:cs="仿宋"/>
          <w:b w:val="0"/>
          <w:bCs w:val="0"/>
          <w:color w:val="auto"/>
          <w:sz w:val="32"/>
          <w:szCs w:val="32"/>
          <w:highlight w:val="none"/>
          <w:lang w:val="en-US" w:eastAsia="zh-CN"/>
        </w:rPr>
        <w:instrText xml:space="preserve"> HYPERLINK "https://baike.baidu.com/item/%E9%A4%90%E9%A5%AE%E5%B8%82%E5%9C%BA/12750136?fromModule=lemma_inlink" \t "https://baike.baidu.com/item/%E9%A4%90%E9%A5%AE%E4%B8%9A/_blank" </w:instrText>
      </w:r>
      <w:r>
        <w:rPr>
          <w:rFonts w:hint="eastAsia" w:ascii="仿宋" w:hAnsi="仿宋" w:eastAsia="仿宋" w:cs="仿宋"/>
          <w:b w:val="0"/>
          <w:bCs w:val="0"/>
          <w:color w:val="auto"/>
          <w:sz w:val="32"/>
          <w:szCs w:val="32"/>
          <w:highlight w:val="none"/>
          <w:lang w:val="en-US" w:eastAsia="zh-CN"/>
        </w:rPr>
        <w:fldChar w:fldCharType="separate"/>
      </w:r>
      <w:r>
        <w:rPr>
          <w:rFonts w:hint="eastAsia" w:ascii="仿宋" w:hAnsi="仿宋" w:eastAsia="仿宋" w:cs="仿宋"/>
          <w:b w:val="0"/>
          <w:bCs w:val="0"/>
          <w:color w:val="auto"/>
          <w:sz w:val="32"/>
          <w:szCs w:val="32"/>
          <w:highlight w:val="none"/>
          <w:lang w:val="en-US" w:eastAsia="zh-CN"/>
        </w:rPr>
        <w:t>餐饮市场</w:t>
      </w:r>
      <w:r>
        <w:rPr>
          <w:rFonts w:hint="eastAsia" w:ascii="仿宋" w:hAnsi="仿宋" w:eastAsia="仿宋" w:cs="仿宋"/>
          <w:b w:val="0"/>
          <w:bCs w:val="0"/>
          <w:color w:val="auto"/>
          <w:sz w:val="32"/>
          <w:szCs w:val="32"/>
          <w:highlight w:val="none"/>
          <w:lang w:val="en-US" w:eastAsia="zh-CN"/>
        </w:rPr>
        <w:fldChar w:fldCharType="end"/>
      </w:r>
      <w:r>
        <w:rPr>
          <w:rFonts w:hint="eastAsia" w:ascii="仿宋" w:hAnsi="仿宋" w:eastAsia="仿宋" w:cs="仿宋"/>
          <w:b w:val="0"/>
          <w:bCs w:val="0"/>
          <w:color w:val="auto"/>
          <w:sz w:val="32"/>
          <w:szCs w:val="32"/>
          <w:highlight w:val="none"/>
          <w:lang w:val="en-US" w:eastAsia="zh-CN"/>
        </w:rPr>
        <w:t>、高档型餐饮市场、气氛型餐饮市场。便利型大众餐饮市场都是</w:t>
      </w:r>
      <w:r>
        <w:rPr>
          <w:rFonts w:hint="eastAsia" w:ascii="仿宋" w:hAnsi="仿宋" w:eastAsia="仿宋" w:cs="仿宋"/>
          <w:b w:val="0"/>
          <w:bCs w:val="0"/>
          <w:color w:val="auto"/>
          <w:sz w:val="32"/>
          <w:szCs w:val="32"/>
          <w:highlight w:val="none"/>
          <w:lang w:val="en-US" w:eastAsia="zh-CN"/>
        </w:rPr>
        <w:fldChar w:fldCharType="begin"/>
      </w:r>
      <w:r>
        <w:rPr>
          <w:rFonts w:hint="eastAsia" w:ascii="仿宋" w:hAnsi="仿宋" w:eastAsia="仿宋" w:cs="仿宋"/>
          <w:b w:val="0"/>
          <w:bCs w:val="0"/>
          <w:color w:val="auto"/>
          <w:sz w:val="32"/>
          <w:szCs w:val="32"/>
          <w:highlight w:val="none"/>
          <w:lang w:val="en-US" w:eastAsia="zh-CN"/>
        </w:rPr>
        <w:instrText xml:space="preserve"> HYPERLINK "https://baike.baidu.com/item/%E5%A4%A7%E4%BC%97%E6%B6%88%E8%B4%B9/10435398?fromModule=lemma_inlink" \t "https://baike.baidu.com/item/%E9%A4%90%E9%A5%AE%E4%B8%9A/_blank" </w:instrText>
      </w:r>
      <w:r>
        <w:rPr>
          <w:rFonts w:hint="eastAsia" w:ascii="仿宋" w:hAnsi="仿宋" w:eastAsia="仿宋" w:cs="仿宋"/>
          <w:b w:val="0"/>
          <w:bCs w:val="0"/>
          <w:color w:val="auto"/>
          <w:sz w:val="32"/>
          <w:szCs w:val="32"/>
          <w:highlight w:val="none"/>
          <w:lang w:val="en-US" w:eastAsia="zh-CN"/>
        </w:rPr>
        <w:fldChar w:fldCharType="separate"/>
      </w:r>
      <w:r>
        <w:rPr>
          <w:rFonts w:hint="eastAsia" w:ascii="仿宋" w:hAnsi="仿宋" w:eastAsia="仿宋" w:cs="仿宋"/>
          <w:b w:val="0"/>
          <w:bCs w:val="0"/>
          <w:color w:val="auto"/>
          <w:sz w:val="32"/>
          <w:szCs w:val="32"/>
          <w:highlight w:val="none"/>
          <w:lang w:val="en-US" w:eastAsia="zh-CN"/>
        </w:rPr>
        <w:t>大众消费</w:t>
      </w:r>
      <w:r>
        <w:rPr>
          <w:rFonts w:hint="eastAsia" w:ascii="仿宋" w:hAnsi="仿宋" w:eastAsia="仿宋" w:cs="仿宋"/>
          <w:b w:val="0"/>
          <w:bCs w:val="0"/>
          <w:color w:val="auto"/>
          <w:sz w:val="32"/>
          <w:szCs w:val="32"/>
          <w:highlight w:val="none"/>
          <w:lang w:val="en-US" w:eastAsia="zh-CN"/>
        </w:rPr>
        <w:fldChar w:fldCharType="end"/>
      </w:r>
      <w:r>
        <w:rPr>
          <w:rFonts w:hint="eastAsia" w:ascii="仿宋" w:hAnsi="仿宋" w:eastAsia="仿宋" w:cs="仿宋"/>
          <w:b w:val="0"/>
          <w:bCs w:val="0"/>
          <w:color w:val="auto"/>
          <w:sz w:val="32"/>
          <w:szCs w:val="32"/>
          <w:highlight w:val="none"/>
          <w:lang w:val="en-US" w:eastAsia="zh-CN"/>
        </w:rPr>
        <w:t>;气氛型餐饮市场是夹在高档和低档之间的档次，主要是一些</w:t>
      </w:r>
      <w:r>
        <w:rPr>
          <w:rFonts w:hint="eastAsia" w:ascii="仿宋" w:hAnsi="仿宋" w:eastAsia="仿宋" w:cs="仿宋"/>
          <w:b w:val="0"/>
          <w:bCs w:val="0"/>
          <w:color w:val="auto"/>
          <w:sz w:val="32"/>
          <w:szCs w:val="32"/>
          <w:highlight w:val="none"/>
          <w:lang w:val="en-US" w:eastAsia="zh-CN"/>
        </w:rPr>
        <w:fldChar w:fldCharType="begin"/>
      </w:r>
      <w:r>
        <w:rPr>
          <w:rFonts w:hint="eastAsia" w:ascii="仿宋" w:hAnsi="仿宋" w:eastAsia="仿宋" w:cs="仿宋"/>
          <w:b w:val="0"/>
          <w:bCs w:val="0"/>
          <w:color w:val="auto"/>
          <w:sz w:val="32"/>
          <w:szCs w:val="32"/>
          <w:highlight w:val="none"/>
          <w:lang w:val="en-US" w:eastAsia="zh-CN"/>
        </w:rPr>
        <w:instrText xml:space="preserve"> HYPERLINK "https://baike.baidu.com/item/%E4%B8%BB%E9%A2%98%E9%A4%90%E5%8E%85/1540024?fromModule=lemma_inlink" \t "https://baike.baidu.com/item/%E9%A4%90%E9%A5%AE%E4%B8%9A/_blank" </w:instrText>
      </w:r>
      <w:r>
        <w:rPr>
          <w:rFonts w:hint="eastAsia" w:ascii="仿宋" w:hAnsi="仿宋" w:eastAsia="仿宋" w:cs="仿宋"/>
          <w:b w:val="0"/>
          <w:bCs w:val="0"/>
          <w:color w:val="auto"/>
          <w:sz w:val="32"/>
          <w:szCs w:val="32"/>
          <w:highlight w:val="none"/>
          <w:lang w:val="en-US" w:eastAsia="zh-CN"/>
        </w:rPr>
        <w:fldChar w:fldCharType="separate"/>
      </w:r>
      <w:r>
        <w:rPr>
          <w:rFonts w:hint="eastAsia" w:ascii="仿宋" w:hAnsi="仿宋" w:eastAsia="仿宋" w:cs="仿宋"/>
          <w:b w:val="0"/>
          <w:bCs w:val="0"/>
          <w:color w:val="auto"/>
          <w:sz w:val="32"/>
          <w:szCs w:val="32"/>
          <w:highlight w:val="none"/>
          <w:lang w:val="en-US" w:eastAsia="zh-CN"/>
        </w:rPr>
        <w:t>主题餐厅</w:t>
      </w:r>
      <w:r>
        <w:rPr>
          <w:rFonts w:hint="eastAsia" w:ascii="仿宋" w:hAnsi="仿宋" w:eastAsia="仿宋" w:cs="仿宋"/>
          <w:b w:val="0"/>
          <w:bCs w:val="0"/>
          <w:color w:val="auto"/>
          <w:sz w:val="32"/>
          <w:szCs w:val="32"/>
          <w:highlight w:val="none"/>
          <w:lang w:val="en-US" w:eastAsia="zh-CN"/>
        </w:rPr>
        <w:fldChar w:fldCharType="end"/>
      </w:r>
      <w:r>
        <w:rPr>
          <w:rFonts w:hint="eastAsia" w:ascii="仿宋" w:hAnsi="仿宋" w:eastAsia="仿宋" w:cs="仿宋"/>
          <w:b w:val="0"/>
          <w:bCs w:val="0"/>
          <w:color w:val="auto"/>
          <w:sz w:val="32"/>
          <w:szCs w:val="32"/>
          <w:highlight w:val="none"/>
          <w:lang w:val="en-US" w:eastAsia="zh-CN"/>
        </w:rPr>
        <w:t>、气氛餐厅，咖啡厅等，总比例的占60%。</w:t>
      </w:r>
    </w:p>
    <w:p>
      <w:pPr>
        <w:pStyle w:val="3"/>
        <w:numPr>
          <w:ilvl w:val="0"/>
          <w:numId w:val="0"/>
        </w:numPr>
        <w:spacing w:line="240" w:lineRule="auto"/>
        <w:ind w:firstLine="640" w:firstLineChars="200"/>
        <w:jc w:val="left"/>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（二）民宿类：提供风格多样，性价比高，能更深度的感受当地人文风情，能满足不同人数的入住需求的民宿，占10%。</w:t>
      </w:r>
    </w:p>
    <w:p>
      <w:pPr>
        <w:pStyle w:val="3"/>
        <w:numPr>
          <w:ilvl w:val="0"/>
          <w:numId w:val="0"/>
        </w:numPr>
        <w:spacing w:line="240" w:lineRule="auto"/>
        <w:ind w:firstLine="640" w:firstLineChars="200"/>
        <w:jc w:val="left"/>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(三）办公类：办公室出租、写字楼租赁、商务中心、联合办公、共享办公、服务式办公室等占20%。</w:t>
      </w:r>
    </w:p>
    <w:p>
      <w:pPr>
        <w:pStyle w:val="3"/>
        <w:numPr>
          <w:ilvl w:val="0"/>
          <w:numId w:val="0"/>
        </w:numPr>
        <w:spacing w:line="240" w:lineRule="auto"/>
        <w:ind w:firstLine="640" w:firstLineChars="200"/>
        <w:jc w:val="left"/>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（四）运动类：运动健身、户外体育的占5%。</w:t>
      </w:r>
    </w:p>
    <w:p>
      <w:pPr>
        <w:pStyle w:val="3"/>
        <w:numPr>
          <w:ilvl w:val="0"/>
          <w:numId w:val="0"/>
        </w:numPr>
        <w:spacing w:line="240" w:lineRule="auto"/>
        <w:ind w:firstLine="640" w:firstLineChars="200"/>
        <w:jc w:val="left"/>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（五）其他：15%。</w:t>
      </w:r>
    </w:p>
    <w:p>
      <w:pPr>
        <w:numPr>
          <w:ilvl w:val="0"/>
          <w:numId w:val="2"/>
        </w:num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项目效益</w:t>
      </w:r>
    </w:p>
    <w:p>
      <w:pPr>
        <w:numPr>
          <w:ilvl w:val="0"/>
          <w:numId w:val="0"/>
        </w:numPr>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改造项目将在结合南头当地特色文化的基础上，以艺术创意、产业重塑、商业激活等形式，由工业记忆转向文化创意，由旧空间转向新地标，集观光旅游、文化创意、网红打卡、民宿集群、饮食娱乐和社区化办公等功能于一体的城市名片，成为新晋热门旅游目的地。预计第一年试运营可带动周边及省内外游客量达15万人次/月，预计随着商业的推广及商圈逐渐成熟，游客量将于第二年可递增至30万人次/月，预计前三年带来的营业额平均约8000万元/年左右，税收平均新增300万元/年，可为南头镇创造过百就业岗位和可观的税收。</w:t>
      </w: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jc w:val="righ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中山罐头文化旅游开发有限公司</w:t>
      </w:r>
    </w:p>
    <w:p>
      <w:pPr>
        <w:wordWrap w:val="0"/>
        <w:jc w:val="righ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2023年10月23日    </w:t>
      </w: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pStyle w:val="3"/>
        <w:rPr>
          <w:rFonts w:hint="eastAsia" w:ascii="仿宋" w:hAnsi="仿宋" w:eastAsia="仿宋" w:cs="仿宋"/>
          <w:color w:val="auto"/>
          <w:sz w:val="32"/>
          <w:szCs w:val="32"/>
          <w:highlight w:val="none"/>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微软简标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15"/>
        <w:szCs w:val="15"/>
      </w:rPr>
    </w:pPr>
    <w:r>
      <w:rPr>
        <w:sz w:val="15"/>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rect>
          </w:pict>
        </mc:Fallback>
      </mc:AlternateContent>
    </w:r>
    <w:r>
      <w:rPr>
        <w:sz w:val="15"/>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EpX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M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PRKV50QEAAJ4DAAAOAAAAAAAAAAEAIAAAAB8BAABk&#10;cnMvZTJvRG9jLnhtbFBLBQYAAAAABgAGAFkBAABiBQAAAAA=&#10;">
              <v:fill on="f" focussize="0,0"/>
              <v:stroke on="f"/>
              <v:imagedata o:title=""/>
              <o:lock v:ext="edit" aspectratio="f"/>
              <v:textbox inset="0mm,0mm,0mm,0mm" style="mso-fit-shape-to-text:t;">
                <w:txbxContent>
                  <w:p>
                    <w:pPr>
                      <w:pStyle w:val="4"/>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71D651"/>
    <w:multiLevelType w:val="singleLevel"/>
    <w:tmpl w:val="E971D651"/>
    <w:lvl w:ilvl="0" w:tentative="0">
      <w:start w:val="8"/>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MmQ2MjE5YjM1ODAyOWVhZWVhYmU2OTg5ZTFmMDgifQ=="/>
  </w:docVars>
  <w:rsids>
    <w:rsidRoot w:val="00000000"/>
    <w:rsid w:val="009E7CA4"/>
    <w:rsid w:val="03A67B31"/>
    <w:rsid w:val="09740EEA"/>
    <w:rsid w:val="22565D89"/>
    <w:rsid w:val="23635DFC"/>
    <w:rsid w:val="2B6A124C"/>
    <w:rsid w:val="2B9C0561"/>
    <w:rsid w:val="2BFD10C0"/>
    <w:rsid w:val="2CBD370E"/>
    <w:rsid w:val="334B67D2"/>
    <w:rsid w:val="339C1533"/>
    <w:rsid w:val="406E586A"/>
    <w:rsid w:val="46223C28"/>
    <w:rsid w:val="47280F40"/>
    <w:rsid w:val="546F119B"/>
    <w:rsid w:val="58CC0BE2"/>
    <w:rsid w:val="5C1C40D3"/>
    <w:rsid w:val="677C3848"/>
    <w:rsid w:val="68C92A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paragraph" w:styleId="3">
    <w:name w:val="heading 2"/>
    <w:basedOn w:val="1"/>
    <w:next w:val="1"/>
    <w:qFormat/>
    <w:uiPriority w:val="0"/>
    <w:pPr>
      <w:keepNext/>
      <w:keepLines/>
      <w:spacing w:line="560" w:lineRule="exact"/>
      <w:outlineLvl w:val="1"/>
    </w:pPr>
    <w:rPr>
      <w:rFonts w:ascii="Arial" w:hAnsi="Arial" w:eastAsia="黑体"/>
    </w:rPr>
  </w:style>
  <w:style w:type="character" w:default="1" w:styleId="8">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4029</Words>
  <Characters>4714</Characters>
  <Paragraphs>353</Paragraphs>
  <TotalTime>0</TotalTime>
  <ScaleCrop>false</ScaleCrop>
  <LinksUpToDate>false</LinksUpToDate>
  <CharactersWithSpaces>4768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war</dc:creator>
  <cp:lastModifiedBy>周大头</cp:lastModifiedBy>
  <cp:lastPrinted>2023-10-26T01:17:00Z</cp:lastPrinted>
  <dcterms:modified xsi:type="dcterms:W3CDTF">2023-12-14T03:52:48Z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094CC474FE074F0398E61A144D049254</vt:lpwstr>
  </property>
</Properties>
</file>