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36" w:lineRule="auto"/>
        <w:jc w:val="both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336" w:lineRule="auto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各项资料所占分值及评分标准</w:t>
      </w:r>
    </w:p>
    <w:p>
      <w:pPr>
        <w:widowControl/>
        <w:shd w:val="clear" w:color="auto" w:fill="FFFFFF"/>
        <w:adjustRightInd w:val="0"/>
        <w:snapToGrid w:val="0"/>
        <w:spacing w:line="336" w:lineRule="auto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709"/>
        <w:gridCol w:w="821"/>
        <w:gridCol w:w="4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76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  <w:t>评分项目</w:t>
            </w:r>
          </w:p>
        </w:tc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  <w:tc>
          <w:tcPr>
            <w:tcW w:w="49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exact"/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1709" w:type="dxa"/>
            <w:vAlign w:val="center"/>
          </w:tcPr>
          <w:p>
            <w:pPr>
              <w:spacing w:line="360" w:lineRule="exact"/>
              <w:ind w:left="-78" w:leftChars="-37" w:right="-73" w:rightChars="-3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服务方案</w:t>
            </w:r>
          </w:p>
        </w:tc>
        <w:tc>
          <w:tcPr>
            <w:tcW w:w="8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优：项目实施计划科学完善，方案制订详细、科学合理，符合项目要求的，可操作性强的，得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良：项目实施计划较为科学完善，方案制订较详细、科学合理，较符合项目要求，可操作性较强的，得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中：项目实施计划简单，方案制订基本符合项目要求，可操作性一般的，得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差：未能完全提供项目实施计划，或制订的方案不能符合项目要求的，得0分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exac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60" w:lineRule="exact"/>
              <w:ind w:left="-78" w:leftChars="-37" w:right="-73" w:rightChars="-35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维修人员要求</w:t>
            </w:r>
          </w:p>
        </w:tc>
        <w:tc>
          <w:tcPr>
            <w:tcW w:w="8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93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right="-73" w:rightChars="-3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拟投入本项目的维修师傅中至少有1名具有高级或以上维修资格，其中：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right="-73" w:rightChars="-35"/>
              <w:rPr>
                <w:rFonts w:hint="default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每具有1名高级或以上维修资格的人员得2</w:t>
            </w:r>
            <w:r>
              <w:rPr>
                <w:rFonts w:hint="default"/>
              </w:rPr>
              <w:t>分</w:t>
            </w:r>
            <w:r>
              <w:rPr>
                <w:rFonts w:hint="default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right="-73" w:rightChars="-3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每具有1名中级维修资格的人员得1分；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right="-73" w:rightChars="-35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满分为10分。</w:t>
            </w:r>
          </w:p>
          <w:p>
            <w:pPr>
              <w:pStyle w:val="3"/>
              <w:rPr>
                <w:rFonts w:hint="default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注：同1名人员同时具有高级和中级维修资格的，只取其高级维修资格得分；需提供上述证书复印件并加盖公章，无或未按要求提供的不得分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exac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60" w:lineRule="exact"/>
              <w:ind w:left="-78" w:leftChars="-37" w:right="-73" w:rightChars="-35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突发情况处理措施及应急方案</w:t>
            </w:r>
          </w:p>
        </w:tc>
        <w:tc>
          <w:tcPr>
            <w:tcW w:w="8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优：突发事件的处理措施和应急预案科学、合理，操作性强，得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良：突发事件的处理措施和应急预案较科学、合理，操作性较强，得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中：突发事件的处理措施和应急预案操作性一般，得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差：突发事件的处理措施和应急预案操作性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差或方案缺失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，得0分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exac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同类项目业绩</w:t>
            </w:r>
          </w:p>
        </w:tc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3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提供同类项目的《业绩情况一览表》，合同或发票或中标通知书的复印件并加盖公章：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承接的同类项目业绩，每提供一个项目业绩得1分，最多得5分；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承接的同类项目业绩的，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客户评价</w:t>
            </w:r>
          </w:p>
        </w:tc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3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的客户评价，每提供1份满意及以上等级的佐证材料得1分，满分5分；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的客户评价的，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10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项目报价</w:t>
            </w:r>
          </w:p>
        </w:tc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49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以最低总报价为基准值，价格得分=基准值÷实际报价×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58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得分合计</w:t>
            </w:r>
          </w:p>
        </w:tc>
        <w:tc>
          <w:tcPr>
            <w:tcW w:w="49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注：采购人依据本项目评分表对项目供应商进行评分，得分最高者遴选为项目供应商。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76DF1227"/>
    <w:rsid w:val="07BC66E8"/>
    <w:rsid w:val="20952D56"/>
    <w:rsid w:val="2F4C13D1"/>
    <w:rsid w:val="72693A65"/>
    <w:rsid w:val="76DF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947</Characters>
  <Lines>0</Lines>
  <Paragraphs>0</Paragraphs>
  <TotalTime>0</TotalTime>
  <ScaleCrop>false</ScaleCrop>
  <LinksUpToDate>false</LinksUpToDate>
  <CharactersWithSpaces>962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2023-02-21T09:24:00Z</dcterms:created>
  <dc:creator>般若波罗蜜</dc:creator>
  <cp:lastModifiedBy>般若波罗蜜</cp:lastModifiedBy>
  <cp:lastPrinted>2023-02-21T09:30:00Z</cp:lastPrinted>
  <dcterms:modified xsi:type="dcterms:W3CDTF">2024-01-18T04:09:05Z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BD729F38DE9742428029509028A7EA25</vt:lpwstr>
  </property>
</Properties>
</file>