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4"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b w:val="0"/>
          <w:bCs w:val="0"/>
          <w:sz w:val="44"/>
          <w:szCs w:val="44"/>
          <w:highlight w:val="none"/>
          <w:lang w:val="en-US" w:eastAsia="zh-CN"/>
        </w:rPr>
        <w:t>板芙镇中山市领航光电科技有限公司项目低效工业用地改造方案</w:t>
      </w:r>
      <w:r>
        <w:rPr>
          <w:rFonts w:hint="eastAsia" w:ascii="方正小标宋简体" w:hAnsi="方正小标宋简体" w:eastAsia="方正小标宋简体" w:cs="方正小标宋简体"/>
          <w:sz w:val="44"/>
          <w:szCs w:val="44"/>
          <w:lang w:eastAsia="zh-CN"/>
        </w:rPr>
        <w:t>批复结果的公告</w:t>
      </w:r>
    </w:p>
    <w:p>
      <w:pPr>
        <w:keepNext w:val="0"/>
        <w:keepLines w:val="0"/>
        <w:pageBreakBefore w:val="0"/>
        <w:widowControl w:val="0"/>
        <w:kinsoku/>
        <w:wordWrap/>
        <w:overflowPunct/>
        <w:topLinePunct w:val="0"/>
        <w:autoSpaceDE/>
        <w:autoSpaceDN/>
        <w:bidi w:val="0"/>
        <w:adjustRightInd w:val="0"/>
        <w:snapToGrid w:val="0"/>
        <w:spacing w:line="574" w:lineRule="exact"/>
        <w:jc w:val="left"/>
        <w:textAlignment w:val="auto"/>
        <w:outlineLvl w:val="9"/>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根据《广东省旧城镇旧厂房旧村庄改造管理办法》（粤府令第279号）和《中山市城市更新管理办法》（</w:t>
      </w:r>
      <w:bookmarkStart w:id="0" w:name="filenumberfirst"/>
      <w:r>
        <w:rPr>
          <w:rFonts w:hint="eastAsia" w:ascii="仿宋_GB2312" w:hAnsi="仿宋_GB2312" w:eastAsia="仿宋_GB2312" w:cs="仿宋_GB2312"/>
          <w:spacing w:val="-6"/>
          <w:sz w:val="28"/>
          <w:szCs w:val="28"/>
          <w:highlight w:val="none"/>
          <w:lang w:val="en-US" w:eastAsia="zh-CN"/>
        </w:rPr>
        <w:t>中府〔2020〕93号</w:t>
      </w:r>
      <w:bookmarkEnd w:id="0"/>
      <w:r>
        <w:rPr>
          <w:rFonts w:hint="eastAsia" w:ascii="仿宋_GB2312" w:hAnsi="仿宋_GB2312" w:eastAsia="仿宋_GB2312" w:cs="仿宋_GB2312"/>
          <w:spacing w:val="-6"/>
          <w:sz w:val="28"/>
          <w:szCs w:val="28"/>
          <w:highlight w:val="none"/>
          <w:lang w:val="en-US" w:eastAsia="zh-CN"/>
        </w:rPr>
        <w:t>）有关规定，现对板芙镇中山市领航光电科技有限公司项目低效工业用地改造方案批复结果进行公告，具体如下：</w:t>
      </w:r>
    </w:p>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right"/>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单位：平方米</w:t>
      </w:r>
    </w:p>
    <w:tbl>
      <w:tblPr>
        <w:tblStyle w:val="4"/>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9"/>
        <w:gridCol w:w="4951"/>
        <w:gridCol w:w="2134"/>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批复文号</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中府改函（19）〔2023〕03号</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批复时间</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2023年12月14日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项目名称</w:t>
            </w:r>
          </w:p>
        </w:tc>
        <w:tc>
          <w:tcPr>
            <w:tcW w:w="3882" w:type="pct"/>
            <w:gridSpan w:val="3"/>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板芙镇中山市领航光电科技有限公司项目低效工业用地改造方案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项目位置</w:t>
            </w:r>
          </w:p>
        </w:tc>
        <w:tc>
          <w:tcPr>
            <w:tcW w:w="3882" w:type="pct"/>
            <w:gridSpan w:val="3"/>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位于中山市板芙镇工业大道6号，</w:t>
            </w:r>
            <w:r>
              <w:rPr>
                <w:rFonts w:hint="default" w:ascii="仿宋_GB2312" w:hAnsi="仿宋_GB2312" w:eastAsia="仿宋_GB2312" w:cs="仿宋_GB2312"/>
                <w:spacing w:val="-6"/>
                <w:sz w:val="28"/>
                <w:szCs w:val="28"/>
                <w:highlight w:val="none"/>
                <w:lang w:val="en-US" w:eastAsia="zh-CN"/>
              </w:rPr>
              <w:t>北</w:t>
            </w:r>
            <w:r>
              <w:rPr>
                <w:rFonts w:hint="eastAsia" w:ascii="仿宋_GB2312" w:hAnsi="仿宋_GB2312" w:eastAsia="仿宋_GB2312" w:cs="仿宋_GB2312"/>
                <w:spacing w:val="-6"/>
                <w:sz w:val="28"/>
                <w:szCs w:val="28"/>
                <w:highlight w:val="none"/>
                <w:lang w:val="en-US" w:eastAsia="zh-CN"/>
              </w:rPr>
              <w:t>至中山市益达服装有限公司，南至中山市工贸技工学校实训基地，东至中山市卓越玩具有限公司，西至中山市启迪未来科技有限公司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项目用地面积</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39063.7</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纳入改造面积</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39063.7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所在控规名称</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《中山市板芙镇工业用地规划条件论证》（中府函〔2022〕237号）</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标图入库图斑号</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改造前用途</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工业</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改造后用途</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改造类型</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自主改造</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改造方式</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局部改造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改造主体</w:t>
            </w:r>
          </w:p>
        </w:tc>
        <w:tc>
          <w:tcPr>
            <w:tcW w:w="3882" w:type="pct"/>
            <w:gridSpan w:val="3"/>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中山市领航光电科技有限公司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111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Cs w:val="0"/>
                <w:snapToGrid/>
                <w:spacing w:val="-6"/>
                <w:kern w:val="2"/>
                <w:sz w:val="28"/>
                <w:szCs w:val="28"/>
                <w:highlight w:val="none"/>
                <w:lang w:val="en-US" w:eastAsia="zh-CN" w:bidi="ar-SA"/>
              </w:rPr>
            </w:pPr>
            <w:r>
              <w:rPr>
                <w:rFonts w:hint="eastAsia" w:ascii="仿宋_GB2312" w:hAnsi="仿宋_GB2312" w:eastAsia="仿宋_GB2312" w:cs="仿宋_GB2312"/>
                <w:bCs w:val="0"/>
                <w:snapToGrid/>
                <w:spacing w:val="-6"/>
                <w:kern w:val="2"/>
                <w:sz w:val="28"/>
                <w:szCs w:val="28"/>
                <w:highlight w:val="none"/>
                <w:lang w:val="en-US" w:eastAsia="zh-CN" w:bidi="ar-SA"/>
              </w:rPr>
              <w:t>改造后总建筑面积</w:t>
            </w:r>
          </w:p>
        </w:tc>
        <w:tc>
          <w:tcPr>
            <w:tcW w:w="175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126227.04</w:t>
            </w:r>
          </w:p>
        </w:tc>
        <w:tc>
          <w:tcPr>
            <w:tcW w:w="757"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28"/>
                <w:szCs w:val="28"/>
                <w:highlight w:val="none"/>
                <w:lang w:val="en-US" w:eastAsia="zh-CN"/>
              </w:rPr>
              <w:t>改造后容积率</w:t>
            </w:r>
          </w:p>
        </w:tc>
        <w:tc>
          <w:tcPr>
            <w:tcW w:w="136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仿宋_GB2312" w:hAnsi="仿宋_GB2312" w:eastAsia="仿宋_GB2312" w:cs="仿宋_GB2312"/>
                <w:spacing w:val="-6"/>
                <w:sz w:val="28"/>
                <w:szCs w:val="28"/>
                <w:highlight w:val="none"/>
                <w:lang w:val="en-US" w:eastAsia="zh-CN"/>
              </w:rPr>
            </w:pPr>
            <w:r>
              <w:rPr>
                <w:rFonts w:hint="eastAsia" w:ascii="仿宋_GB2312" w:hAnsi="仿宋_GB2312" w:eastAsia="仿宋_GB2312" w:cs="仿宋_GB2312"/>
                <w:spacing w:val="-6"/>
                <w:sz w:val="32"/>
                <w:szCs w:val="32"/>
                <w:highlight w:val="none"/>
                <w:lang w:val="en-US" w:eastAsia="zh-CN"/>
              </w:rPr>
              <w:t>3.23</w:t>
            </w:r>
          </w:p>
        </w:tc>
      </w:tr>
    </w:tbl>
    <w:p>
      <w:pPr>
        <w:pStyle w:val="2"/>
        <w:jc w:val="both"/>
        <w:rPr>
          <w:rFonts w:hint="eastAsia"/>
          <w:sz w:val="10"/>
          <w:szCs w:val="10"/>
          <w:lang w:val="en-US" w:eastAsia="zh-CN"/>
        </w:rPr>
      </w:pPr>
    </w:p>
    <w:p/>
    <w:sectPr>
      <w:pgSz w:w="16838" w:h="11906" w:orient="landscape"/>
      <w:pgMar w:top="1293" w:right="1440" w:bottom="129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E18EB"/>
    <w:rsid w:val="0C9B7EBC"/>
    <w:rsid w:val="0F9315AB"/>
    <w:rsid w:val="24F301AC"/>
    <w:rsid w:val="33AD45E5"/>
    <w:rsid w:val="3A6A462C"/>
    <w:rsid w:val="3A7A067E"/>
    <w:rsid w:val="415A6D25"/>
    <w:rsid w:val="4A567E3F"/>
    <w:rsid w:val="56EE27E4"/>
    <w:rsid w:val="57381312"/>
    <w:rsid w:val="5B2A6EB5"/>
    <w:rsid w:val="64812965"/>
    <w:rsid w:val="6D8E410C"/>
    <w:rsid w:val="6EF4297E"/>
    <w:rsid w:val="746F577B"/>
    <w:rsid w:val="77CA25CE"/>
    <w:rsid w:val="78906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2024-03-28T03:47:00Z</dcterms:created>
  <dc:creator>Administrator</dc:creator>
  <cp:lastModifiedBy>童妙</cp:lastModifiedBy>
  <dcterms:modified xsi:type="dcterms:W3CDTF">2024-05-09T01:12:42Z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CB70E43EB0554BCE870A9096F7517D4E</vt:lpwstr>
  </property>
</Properties>
</file>