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rPr>
          <w:rFonts w:hint="eastAsia" w:ascii="Times New Roman" w:cs="仿宋_GB2312"/>
          <w:color w:val="auto"/>
          <w:kern w:val="0"/>
          <w:sz w:val="32"/>
          <w:szCs w:val="32"/>
        </w:rPr>
      </w:pPr>
      <w:r>
        <w:rPr>
          <w:rFonts w:hint="eastAsia" w:ascii="黑体" w:hAnsi="黑体" w:eastAsia="黑体" w:cs="黑体"/>
          <w:color w:val="auto"/>
          <w:kern w:val="0"/>
          <w:sz w:val="32"/>
          <w:szCs w:val="32"/>
        </w:rPr>
        <w:t>附件</w:t>
      </w:r>
      <w:r>
        <w:rPr>
          <w:rFonts w:hint="eastAsia" w:ascii="Times New Roman" w:cs="仿宋_GB2312"/>
          <w:color w:val="auto"/>
          <w:kern w:val="0"/>
          <w:sz w:val="32"/>
          <w:szCs w:val="32"/>
        </w:rPr>
        <w:t>1</w:t>
      </w:r>
    </w:p>
    <w:p>
      <w:pPr>
        <w:spacing w:beforeLines="0" w:afterLines="0"/>
        <w:jc w:val="center"/>
        <w:rPr>
          <w:rFonts w:hint="eastAsia" w:ascii="Times New Roman" w:eastAsia="方正小标宋简体" w:cs="方正小标宋简体"/>
          <w:kern w:val="0"/>
          <w:sz w:val="44"/>
          <w:szCs w:val="44"/>
        </w:rPr>
      </w:pPr>
      <w:bookmarkStart w:id="0" w:name="_GoBack"/>
      <w:r>
        <w:rPr>
          <w:rFonts w:hint="eastAsia" w:ascii="Times New Roman" w:eastAsia="方正小标宋简体" w:cs="方正小标宋简体"/>
          <w:color w:val="auto"/>
          <w:kern w:val="0"/>
          <w:sz w:val="44"/>
          <w:szCs w:val="44"/>
        </w:rPr>
        <w:t>中山市2023年度失效和撤回用地批准文件清单</w:t>
      </w:r>
    </w:p>
    <w:bookmarkEnd w:id="0"/>
    <w:tbl>
      <w:tblPr>
        <w:tblStyle w:val="3"/>
        <w:tblW w:w="141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28" w:type="dxa"/>
          <w:bottom w:w="0" w:type="dxa"/>
          <w:right w:w="28" w:type="dxa"/>
        </w:tblCellMar>
      </w:tblPr>
      <w:tblGrid>
        <w:gridCol w:w="630"/>
        <w:gridCol w:w="4362"/>
        <w:gridCol w:w="2526"/>
        <w:gridCol w:w="1306"/>
        <w:gridCol w:w="1444"/>
        <w:gridCol w:w="1389"/>
        <w:gridCol w:w="1249"/>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480" w:hRule="atLeast"/>
          <w:jc w:val="center"/>
        </w:trPr>
        <w:tc>
          <w:tcPr>
            <w:tcW w:w="6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lang w:bidi="ar"/>
              </w:rPr>
              <w:t>序号</w:t>
            </w:r>
          </w:p>
        </w:tc>
        <w:tc>
          <w:tcPr>
            <w:tcW w:w="43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lang w:bidi="ar"/>
              </w:rPr>
              <w:t>项目名称</w:t>
            </w:r>
          </w:p>
        </w:tc>
        <w:tc>
          <w:tcPr>
            <w:tcW w:w="25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lang w:bidi="ar"/>
              </w:rPr>
              <w:t>批复文号</w:t>
            </w:r>
          </w:p>
        </w:tc>
        <w:tc>
          <w:tcPr>
            <w:tcW w:w="1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lang w:bidi="ar"/>
              </w:rPr>
              <w:t>批复日期</w:t>
            </w:r>
          </w:p>
        </w:tc>
        <w:tc>
          <w:tcPr>
            <w:tcW w:w="14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lang w:bidi="ar"/>
              </w:rPr>
              <w:t>位置</w:t>
            </w:r>
          </w:p>
        </w:tc>
        <w:tc>
          <w:tcPr>
            <w:tcW w:w="13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lang w:bidi="ar"/>
              </w:rPr>
              <w:t>批准</w:t>
            </w:r>
            <w:r>
              <w:rPr>
                <w:rFonts w:hint="eastAsia" w:ascii="黑体" w:hAnsi="黑体" w:eastAsia="黑体" w:cs="黑体"/>
                <w:color w:val="000000"/>
                <w:kern w:val="0"/>
                <w:sz w:val="28"/>
                <w:szCs w:val="28"/>
                <w:lang w:bidi="ar"/>
              </w:rPr>
              <w:br w:type="textWrapping"/>
            </w:r>
            <w:r>
              <w:rPr>
                <w:rFonts w:hint="eastAsia" w:ascii="黑体" w:hAnsi="黑体" w:eastAsia="黑体" w:cs="黑体"/>
                <w:color w:val="000000"/>
                <w:kern w:val="0"/>
                <w:sz w:val="28"/>
                <w:szCs w:val="28"/>
                <w:lang w:bidi="ar"/>
              </w:rPr>
              <w:t>总面积</w:t>
            </w:r>
          </w:p>
        </w:tc>
        <w:tc>
          <w:tcPr>
            <w:tcW w:w="124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lang w:bidi="ar"/>
              </w:rPr>
              <w:t>撤销面积</w:t>
            </w:r>
          </w:p>
        </w:tc>
        <w:tc>
          <w:tcPr>
            <w:tcW w:w="12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lang w:bidi="ar"/>
              </w:rPr>
              <w:t>撤销类型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570" w:hRule="atLeast"/>
          <w:jc w:val="center"/>
        </w:trPr>
        <w:tc>
          <w:tcPr>
            <w:tcW w:w="6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1</w:t>
            </w:r>
          </w:p>
        </w:tc>
        <w:tc>
          <w:tcPr>
            <w:tcW w:w="43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中山市神湾镇2013年度第四批次城镇建设用地</w:t>
            </w:r>
          </w:p>
        </w:tc>
        <w:tc>
          <w:tcPr>
            <w:tcW w:w="25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Times New Roman" w:cs="仿宋_GB2312"/>
                <w:color w:val="000000"/>
                <w:kern w:val="0"/>
                <w:sz w:val="28"/>
                <w:szCs w:val="28"/>
                <w:lang w:bidi="ar"/>
              </w:rPr>
            </w:pPr>
            <w:r>
              <w:rPr>
                <w:rFonts w:hint="eastAsia" w:ascii="Times New Roman" w:cs="仿宋_GB2312"/>
                <w:color w:val="000000"/>
                <w:kern w:val="0"/>
                <w:sz w:val="28"/>
                <w:szCs w:val="28"/>
                <w:lang w:bidi="ar"/>
              </w:rPr>
              <w:t>粤国土资（建）字</w:t>
            </w:r>
          </w:p>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〔2015〕374号</w:t>
            </w:r>
          </w:p>
        </w:tc>
        <w:tc>
          <w:tcPr>
            <w:tcW w:w="13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2015/3/17</w:t>
            </w:r>
          </w:p>
        </w:tc>
        <w:tc>
          <w:tcPr>
            <w:tcW w:w="1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神湾镇</w:t>
            </w:r>
          </w:p>
        </w:tc>
        <w:tc>
          <w:tcPr>
            <w:tcW w:w="13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3.0886</w:t>
            </w:r>
          </w:p>
        </w:tc>
        <w:tc>
          <w:tcPr>
            <w:tcW w:w="12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1.4668</w:t>
            </w:r>
          </w:p>
        </w:tc>
        <w:tc>
          <w:tcPr>
            <w:tcW w:w="12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部分撤回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570" w:hRule="atLeast"/>
          <w:jc w:val="center"/>
        </w:trPr>
        <w:tc>
          <w:tcPr>
            <w:tcW w:w="6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2</w:t>
            </w:r>
          </w:p>
        </w:tc>
        <w:tc>
          <w:tcPr>
            <w:tcW w:w="43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中山市2013年度中心城区第一批次城市建设用地农用地转用和土地征收实施方案</w:t>
            </w:r>
          </w:p>
        </w:tc>
        <w:tc>
          <w:tcPr>
            <w:tcW w:w="25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Times New Roman" w:cs="仿宋_GB2312"/>
                <w:color w:val="000000"/>
                <w:kern w:val="0"/>
                <w:sz w:val="28"/>
                <w:szCs w:val="28"/>
                <w:lang w:bidi="ar"/>
              </w:rPr>
            </w:pPr>
            <w:r>
              <w:rPr>
                <w:rFonts w:hint="eastAsia" w:ascii="Times New Roman" w:cs="仿宋_GB2312"/>
                <w:color w:val="000000"/>
                <w:kern w:val="0"/>
                <w:sz w:val="28"/>
                <w:szCs w:val="28"/>
                <w:lang w:bidi="ar"/>
              </w:rPr>
              <w:t>粤国土资（建）字</w:t>
            </w:r>
          </w:p>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〔2015〕1195号</w:t>
            </w:r>
          </w:p>
        </w:tc>
        <w:tc>
          <w:tcPr>
            <w:tcW w:w="13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2015/8/28</w:t>
            </w:r>
          </w:p>
        </w:tc>
        <w:tc>
          <w:tcPr>
            <w:tcW w:w="1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南区街道</w:t>
            </w:r>
          </w:p>
        </w:tc>
        <w:tc>
          <w:tcPr>
            <w:tcW w:w="13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18.4334</w:t>
            </w:r>
          </w:p>
        </w:tc>
        <w:tc>
          <w:tcPr>
            <w:tcW w:w="12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0.8104</w:t>
            </w:r>
          </w:p>
        </w:tc>
        <w:tc>
          <w:tcPr>
            <w:tcW w:w="12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部分撤回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570" w:hRule="atLeast"/>
          <w:jc w:val="center"/>
        </w:trPr>
        <w:tc>
          <w:tcPr>
            <w:tcW w:w="6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3</w:t>
            </w:r>
          </w:p>
        </w:tc>
        <w:tc>
          <w:tcPr>
            <w:tcW w:w="43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中山市中心城区2012年度第四批次城市建设用地农用地转用和土地征收实施方案</w:t>
            </w:r>
          </w:p>
        </w:tc>
        <w:tc>
          <w:tcPr>
            <w:tcW w:w="25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Times New Roman" w:cs="仿宋_GB2312"/>
                <w:color w:val="000000"/>
                <w:kern w:val="0"/>
                <w:sz w:val="28"/>
                <w:szCs w:val="28"/>
                <w:lang w:bidi="ar"/>
              </w:rPr>
            </w:pPr>
            <w:r>
              <w:rPr>
                <w:rFonts w:hint="eastAsia" w:ascii="Times New Roman" w:cs="仿宋_GB2312"/>
                <w:color w:val="000000"/>
                <w:kern w:val="0"/>
                <w:sz w:val="28"/>
                <w:szCs w:val="28"/>
                <w:lang w:bidi="ar"/>
              </w:rPr>
              <w:t>粤国土资（建）字</w:t>
            </w:r>
          </w:p>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〔2014〕521号</w:t>
            </w:r>
          </w:p>
        </w:tc>
        <w:tc>
          <w:tcPr>
            <w:tcW w:w="13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2014/5/29</w:t>
            </w:r>
          </w:p>
        </w:tc>
        <w:tc>
          <w:tcPr>
            <w:tcW w:w="1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南区街道</w:t>
            </w:r>
          </w:p>
        </w:tc>
        <w:tc>
          <w:tcPr>
            <w:tcW w:w="13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9.3333</w:t>
            </w:r>
          </w:p>
        </w:tc>
        <w:tc>
          <w:tcPr>
            <w:tcW w:w="12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1.5553</w:t>
            </w:r>
          </w:p>
        </w:tc>
        <w:tc>
          <w:tcPr>
            <w:tcW w:w="12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部分撤回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570" w:hRule="atLeast"/>
          <w:jc w:val="center"/>
        </w:trPr>
        <w:tc>
          <w:tcPr>
            <w:tcW w:w="6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4</w:t>
            </w:r>
          </w:p>
        </w:tc>
        <w:tc>
          <w:tcPr>
            <w:tcW w:w="43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中山市民众镇2011年度第九批次城镇建设用地</w:t>
            </w:r>
          </w:p>
        </w:tc>
        <w:tc>
          <w:tcPr>
            <w:tcW w:w="25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Times New Roman" w:cs="仿宋_GB2312"/>
                <w:color w:val="000000"/>
                <w:kern w:val="0"/>
                <w:sz w:val="28"/>
                <w:szCs w:val="28"/>
                <w:lang w:bidi="ar"/>
              </w:rPr>
            </w:pPr>
            <w:r>
              <w:rPr>
                <w:rFonts w:hint="eastAsia" w:ascii="Times New Roman" w:cs="仿宋_GB2312"/>
                <w:color w:val="000000"/>
                <w:kern w:val="0"/>
                <w:sz w:val="28"/>
                <w:szCs w:val="28"/>
                <w:lang w:bidi="ar"/>
              </w:rPr>
              <w:t>粤国土资（建）字</w:t>
            </w:r>
          </w:p>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〔2012〕593号</w:t>
            </w:r>
          </w:p>
        </w:tc>
        <w:tc>
          <w:tcPr>
            <w:tcW w:w="13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2012/6/29</w:t>
            </w:r>
          </w:p>
        </w:tc>
        <w:tc>
          <w:tcPr>
            <w:tcW w:w="1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民众街道</w:t>
            </w:r>
          </w:p>
        </w:tc>
        <w:tc>
          <w:tcPr>
            <w:tcW w:w="13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11.9016</w:t>
            </w:r>
          </w:p>
        </w:tc>
        <w:tc>
          <w:tcPr>
            <w:tcW w:w="12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11.9016</w:t>
            </w:r>
          </w:p>
        </w:tc>
        <w:tc>
          <w:tcPr>
            <w:tcW w:w="12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认定失效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570" w:hRule="atLeast"/>
          <w:jc w:val="center"/>
        </w:trPr>
        <w:tc>
          <w:tcPr>
            <w:tcW w:w="6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5</w:t>
            </w:r>
          </w:p>
        </w:tc>
        <w:tc>
          <w:tcPr>
            <w:tcW w:w="43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中山市2014年度中心城区第七批次城市建设用地农用地转用和土地征收实施方案</w:t>
            </w:r>
          </w:p>
        </w:tc>
        <w:tc>
          <w:tcPr>
            <w:tcW w:w="25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Times New Roman" w:cs="仿宋_GB2312"/>
                <w:color w:val="000000"/>
                <w:kern w:val="0"/>
                <w:sz w:val="28"/>
                <w:szCs w:val="28"/>
                <w:lang w:bidi="ar"/>
              </w:rPr>
            </w:pPr>
            <w:r>
              <w:rPr>
                <w:rFonts w:hint="eastAsia" w:ascii="Times New Roman" w:cs="仿宋_GB2312"/>
                <w:color w:val="000000"/>
                <w:kern w:val="0"/>
                <w:sz w:val="28"/>
                <w:szCs w:val="28"/>
                <w:lang w:bidi="ar"/>
              </w:rPr>
              <w:t>粤府土审（13）</w:t>
            </w:r>
          </w:p>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〔2018〕17号</w:t>
            </w:r>
          </w:p>
        </w:tc>
        <w:tc>
          <w:tcPr>
            <w:tcW w:w="13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2018/10/10</w:t>
            </w:r>
          </w:p>
        </w:tc>
        <w:tc>
          <w:tcPr>
            <w:tcW w:w="1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南区街道</w:t>
            </w:r>
          </w:p>
        </w:tc>
        <w:tc>
          <w:tcPr>
            <w:tcW w:w="13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3.8933</w:t>
            </w:r>
          </w:p>
        </w:tc>
        <w:tc>
          <w:tcPr>
            <w:tcW w:w="12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0.2300</w:t>
            </w:r>
          </w:p>
        </w:tc>
        <w:tc>
          <w:tcPr>
            <w:tcW w:w="12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部分撤回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570" w:hRule="atLeast"/>
          <w:jc w:val="center"/>
        </w:trPr>
        <w:tc>
          <w:tcPr>
            <w:tcW w:w="6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6</w:t>
            </w:r>
          </w:p>
        </w:tc>
        <w:tc>
          <w:tcPr>
            <w:tcW w:w="43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中山市2018年度第二十批次城镇建设用地</w:t>
            </w:r>
          </w:p>
        </w:tc>
        <w:tc>
          <w:tcPr>
            <w:tcW w:w="25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uppressLineNumbers w:val="0"/>
              <w:spacing w:beforeLines="0" w:afterLines="0" w:line="240" w:lineRule="auto"/>
              <w:jc w:val="center"/>
              <w:textAlignment w:val="center"/>
              <w:rPr>
                <w:rFonts w:hint="eastAsia" w:ascii="Times New Roman" w:cs="仿宋_GB2312"/>
                <w:color w:val="000000"/>
                <w:kern w:val="0"/>
                <w:sz w:val="28"/>
                <w:szCs w:val="28"/>
                <w:lang w:bidi="ar"/>
              </w:rPr>
            </w:pPr>
            <w:r>
              <w:rPr>
                <w:rFonts w:hint="eastAsia" w:ascii="Times New Roman" w:cs="仿宋_GB2312"/>
                <w:color w:val="000000"/>
                <w:kern w:val="0"/>
                <w:sz w:val="28"/>
                <w:szCs w:val="28"/>
                <w:lang w:bidi="ar"/>
              </w:rPr>
              <w:t>粤府土审（13）</w:t>
            </w:r>
          </w:p>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〔2020〕22号</w:t>
            </w:r>
          </w:p>
        </w:tc>
        <w:tc>
          <w:tcPr>
            <w:tcW w:w="13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2020/6/24</w:t>
            </w:r>
          </w:p>
        </w:tc>
        <w:tc>
          <w:tcPr>
            <w:tcW w:w="1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神湾镇</w:t>
            </w:r>
          </w:p>
        </w:tc>
        <w:tc>
          <w:tcPr>
            <w:tcW w:w="13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2.8525</w:t>
            </w:r>
          </w:p>
        </w:tc>
        <w:tc>
          <w:tcPr>
            <w:tcW w:w="12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2.8525</w:t>
            </w:r>
          </w:p>
        </w:tc>
        <w:tc>
          <w:tcPr>
            <w:tcW w:w="12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认定失效</w:t>
            </w:r>
          </w:p>
        </w:tc>
      </w:tr>
    </w:tbl>
    <w:p/>
    <w:sectPr>
      <w:pgSz w:w="15840" w:h="12240" w:orient="landscape"/>
      <w:pgMar w:top="1800" w:right="1440" w:bottom="1800" w:left="1440" w:header="720" w:footer="720" w:gutter="0"/>
      <w:lnNumType w:countBy="0" w:distance="36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47C0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uppressLineNumbers/>
      <w:adjustRightInd w:val="0"/>
      <w:snapToGrid w:val="0"/>
      <w:spacing w:beforeLines="0" w:afterLines="0" w:line="574" w:lineRule="exact"/>
      <w:jc w:val="both"/>
    </w:pPr>
    <w:rPr>
      <w:rFonts w:hint="eastAsia" w:ascii="仿宋_GB2312" w:hAnsi="Times New Roman" w:eastAsia="仿宋_GB2312"/>
      <w:snapToGrid w:val="0"/>
      <w:spacing w:val="-6"/>
      <w:kern w:val="3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pacing w:beforeLines="0" w:afterLines="0" w:line="240" w:lineRule="atLeast"/>
      <w:jc w:val="left"/>
    </w:pPr>
    <w:rPr>
      <w:rFonts w:hint="eastAsia"/>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中山市政务服务数据管理局</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2024-05-28T09:16:00Z</dcterms:created>
  <dc:creator>廖海艳</dc:creator>
  <cp:lastModifiedBy>廖海艳</cp:lastModifiedBy>
  <dcterms:modified xsi:type="dcterms:W3CDTF">2024-05-28T09:17:29Z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2639E5757B5C4279B669FE2AF1A53FDD</vt:lpwstr>
  </property>
</Properties>
</file>