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《中山市西区街道居家社区养老服务工作方案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2024年修订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》及《中山市西区街道居家社区养老服务资助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指导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标准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2024年修订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》（征求意见稿）反馈意见采纳情况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汇总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5685"/>
        <w:gridCol w:w="1845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部门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提出修改意见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采纳情况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不采纳原因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中山市财政局西区分局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1、来文中资助指导标准设置为一定金额区间范围，而非明确金额，不便于资助款项实际发放的规范性及统一性， 建议结合西区街道经济社会发展情况，进一步明确居家养老资助指导标准，确定具体资助金额。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不采纳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按照《中山市居家社区养老服务资助指导标准》文件要求，镇街结合辖区经济社会发展情况，按不低于该指导标准确定辖区资助标准，我街道结合社区居家养老服务对象能力评估及服务需求，制定资助金额区间。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中山市民政局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中山市卫生健康局西区分局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中山市人力资源和社会保障局西区分局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西区街道卫健分局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广丰社区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ind w:firstLine="196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烟洲社区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彩虹社区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沙朗社区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隆平社区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bookmarkStart w:id="0" w:name="OLE_LINK1" w:colFirst="1" w:colLast="3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隆昌社区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后山社区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长洲社区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bookmarkStart w:id="1" w:name="OLE_LINK3" w:colFirst="2" w:colLast="3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西苑社区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公众意见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-----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0CE1D"/>
    <w:multiLevelType w:val="singleLevel"/>
    <w:tmpl w:val="3D30CE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ODNhNmUwYzdhZjYyZDkyNjI4OTA2NThhMmFmYTIifQ=="/>
  </w:docVars>
  <w:rsids>
    <w:rsidRoot w:val="7C8F782C"/>
    <w:rsid w:val="2D6B328C"/>
    <w:rsid w:val="49540FF1"/>
    <w:rsid w:val="656F2844"/>
    <w:rsid w:val="7631412E"/>
    <w:rsid w:val="7C8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2023-07-05T07:42:00Z</dcterms:created>
  <dc:creator>Administrator</dc:creator>
  <cp:lastModifiedBy>阮斯频</cp:lastModifiedBy>
  <dcterms:modified xsi:type="dcterms:W3CDTF">2024-06-25T09:16:59Z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A242622585B54BEDAEDD6B5C8BD7BE55_11</vt:lpwstr>
  </property>
</Properties>
</file>