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cs="黑体" w:asciiTheme="majorEastAsia" w:hAnsiTheme="majorEastAsia" w:eastAsiaTheme="majorEastAsia"/>
          <w:sz w:val="32"/>
          <w:szCs w:val="32"/>
        </w:rPr>
      </w:pPr>
      <w:r>
        <w:rPr>
          <w:rFonts w:hint="eastAsia" w:cs="黑体" w:asciiTheme="majorEastAsia" w:hAnsiTheme="majorEastAsia" w:eastAsiaTheme="majorEastAsia"/>
          <w:sz w:val="32"/>
          <w:szCs w:val="32"/>
        </w:rPr>
        <w:t>附件1</w:t>
      </w:r>
    </w:p>
    <w:p>
      <w:pPr>
        <w:spacing w:line="500" w:lineRule="exact"/>
        <w:jc w:val="center"/>
        <w:rPr>
          <w:rFonts w:ascii="Times New Roman" w:hAnsi="Times New Roman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方正小标宋简体" w:hAnsi="黑体" w:eastAsia="方正小标宋简体" w:cs="微软简标宋"/>
          <w:sz w:val="44"/>
          <w:szCs w:val="44"/>
          <w:shd w:val="clear" w:color="auto" w:fill="FFFFFF"/>
        </w:rPr>
        <w:t>用户需求书</w:t>
      </w:r>
      <w:bookmarkStart w:id="12" w:name="_GoBack"/>
      <w:bookmarkEnd w:id="12"/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中山市“智慧民政”平台运维服务供应单位需按要求开展系统运维服务，具体要求如下：</w:t>
      </w:r>
    </w:p>
    <w:p>
      <w:pPr>
        <w:keepNext w:val="0"/>
        <w:keepLines w:val="0"/>
        <w:pageBreakBefore w:val="0"/>
        <w:widowControl/>
        <w:tabs>
          <w:tab w:val="left" w:pos="840"/>
          <w:tab w:val="left" w:pos="1060"/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firstLine="320" w:firstLineChars="1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kern w:val="28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28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kern w:val="28"/>
          <w:sz w:val="32"/>
          <w:szCs w:val="32"/>
        </w:rPr>
        <w:t>基本内容要求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840"/>
          <w:tab w:val="left" w:pos="1060"/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</w:rPr>
        <w:t>在运维服务期内，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  <w:lang w:eastAsia="zh-CN"/>
        </w:rPr>
        <w:t>服务供应单位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</w:rPr>
        <w:t>指派1名服务技术人员对接，为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  <w:lang w:eastAsia="zh-CN"/>
        </w:rPr>
        <w:t>采购方的工作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</w:rPr>
        <w:t>人员提供咨询和技术问题处理服务。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840"/>
          <w:tab w:val="left" w:pos="1060"/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  <w:lang w:eastAsia="zh-CN"/>
        </w:rPr>
        <w:t>（二）服务供应单位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</w:rPr>
        <w:t>服务人员须对本系统各模块业务流程操作清晰、系统功能模块配置熟练，能使用主流的办公软件制作清晰易懂的系统操作说明文档。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840"/>
          <w:tab w:val="left" w:pos="1060"/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  <w:lang w:eastAsia="zh-CN"/>
        </w:rPr>
        <w:t>（三）按照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  <w:lang w:val="en-US" w:eastAsia="zh-CN"/>
        </w:rPr>
        <w:t>相关技术标准和本项运维需求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  <w:lang w:eastAsia="zh-CN"/>
        </w:rPr>
        <w:t>提供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</w:rPr>
        <w:t>现场技术支持服务。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840"/>
          <w:tab w:val="left" w:pos="1060"/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kern w:val="28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28"/>
          <w:sz w:val="32"/>
          <w:szCs w:val="32"/>
          <w:lang w:val="en-US" w:eastAsia="zh-CN"/>
        </w:rPr>
        <w:t>二、人员管理要求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840"/>
          <w:tab w:val="left" w:pos="1060"/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</w:rPr>
        <w:t>运维服务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  <w:lang w:eastAsia="zh-CN"/>
        </w:rPr>
        <w:t>供应单位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</w:rPr>
        <w:t>应建立运维AB角制度，确保紧急情况备角能有效应对运维工作。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840"/>
          <w:tab w:val="left" w:pos="1060"/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  <w:lang w:eastAsia="zh-CN"/>
        </w:rPr>
        <w:t>（二）运维服务供应单位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</w:rPr>
        <w:t>应根据运维需要安排足够数量的维护人员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  <w:lang w:val="en-US" w:eastAsia="zh-CN"/>
        </w:rPr>
        <w:t>人员应该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</w:rPr>
        <w:t>遵守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  <w:lang w:eastAsia="zh-CN"/>
        </w:rPr>
        <w:t>中山市民政局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</w:rPr>
        <w:t>有关工作纪律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  <w:lang w:eastAsia="zh-CN"/>
        </w:rPr>
        <w:t>。运维服务供应单位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</w:rPr>
        <w:t>须保证维护实施人员充足、队伍稳定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840"/>
          <w:tab w:val="left" w:pos="1060"/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  <w:lang w:eastAsia="zh-CN"/>
        </w:rPr>
        <w:t>（三）运维服务供应单位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</w:rPr>
        <w:t>要明确组织结构、岗位设置和岗位职责和人员安排的方案，项目实施前提交中山市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  <w:lang w:val="en-US" w:eastAsia="zh-CN"/>
        </w:rPr>
        <w:t>民政局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</w:rPr>
        <w:t>备案。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840"/>
          <w:tab w:val="left" w:pos="1060"/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</w:rPr>
        <w:t>未经中山市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  <w:lang w:val="en-US" w:eastAsia="zh-CN"/>
        </w:rPr>
        <w:t>民政局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</w:rPr>
        <w:t>同意，不得更换服务技术人员。更换后人员经验、学历、能力不得低于被更换人员，所学专业应符合对应岗位的要求。更换人员与被更换人员应有不少于1月的交接过渡期。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840"/>
          <w:tab w:val="left" w:pos="1060"/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  <w:lang w:val="en-US" w:eastAsia="zh-CN"/>
        </w:rPr>
        <w:t>（五）服务技术人员要求本科以上学历，具备1年以上同类系统研发或信息化运维项目经验。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  <w:lang w:eastAsia="zh-CN"/>
        </w:rPr>
        <w:t>运维服务供应单位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  <w:lang w:val="en-US" w:eastAsia="zh-CN"/>
        </w:rPr>
        <w:t>对人员落实项目人员背景调查，保障本项目运维人员无异常情况。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840"/>
          <w:tab w:val="left" w:pos="1060"/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  <w:lang w:eastAsia="zh-CN"/>
        </w:rPr>
        <w:t>（六）运维服务供应单位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</w:rPr>
        <w:t>应加强内部管理，完善相关管理制度，合理设置岗位，明确人员责任，优化考核与奖惩机制，加强运维队伍建设，确保运维队伍专业性和稳定性，持续提升运维保障能力。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840"/>
          <w:tab w:val="left" w:pos="1060"/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kern w:val="28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28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kern w:val="28"/>
          <w:sz w:val="32"/>
          <w:szCs w:val="32"/>
        </w:rPr>
        <w:t>技术服务内容要求</w:t>
      </w:r>
    </w:p>
    <w:p>
      <w:pPr>
        <w:keepNext w:val="0"/>
        <w:keepLines w:val="0"/>
        <w:pageBreakBefore w:val="0"/>
        <w:widowControl/>
        <w:tabs>
          <w:tab w:val="left" w:pos="840"/>
          <w:tab w:val="left" w:pos="1060"/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28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</w:rPr>
        <w:t>系统运维服务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  <w:lang w:val="en-US" w:eastAsia="zh-CN"/>
        </w:rPr>
        <w:t>内容包括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</w:rPr>
        <w:t>：日常巡检、系统监控、故障服务、系统BUG修改、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8"/>
          <w:sz w:val="32"/>
          <w:szCs w:val="32"/>
        </w:rPr>
        <w:t>系统安全保障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8"/>
          <w:sz w:val="32"/>
          <w:szCs w:val="32"/>
          <w:lang w:eastAsia="zh-CN"/>
        </w:rPr>
        <w:t>。</w:t>
      </w:r>
      <w:bookmarkStart w:id="0" w:name="_Toc239646187"/>
      <w:bookmarkStart w:id="1" w:name="_Toc239646408"/>
      <w:bookmarkStart w:id="2" w:name="_Toc239646074"/>
      <w:bookmarkStart w:id="3" w:name="_Toc240426363"/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8"/>
          <w:sz w:val="32"/>
          <w:szCs w:val="32"/>
          <w:lang w:val="en-US" w:eastAsia="zh-CN"/>
        </w:rPr>
        <w:t>具体要求如下：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40"/>
          <w:tab w:val="left" w:pos="1060"/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</w:rPr>
        <w:t>日常巡检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  <w:lang w:val="en-US" w:eastAsia="zh-CN"/>
        </w:rPr>
        <w:t>服务</w:t>
      </w:r>
    </w:p>
    <w:p>
      <w:pPr>
        <w:keepNext w:val="0"/>
        <w:keepLines w:val="0"/>
        <w:pageBreakBefore w:val="0"/>
        <w:widowControl/>
        <w:tabs>
          <w:tab w:val="left" w:pos="840"/>
          <w:tab w:val="left" w:pos="1060"/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</w:rPr>
        <w:t>运维服务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  <w:lang w:eastAsia="zh-CN"/>
        </w:rPr>
        <w:t>供应单位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</w:rPr>
        <w:t>定期对系统进行巡检。日常巡检包括以下内容：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840"/>
          <w:tab w:val="left" w:pos="1060"/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</w:rPr>
        <w:t>负责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</w:rPr>
        <w:t>智慧民政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</w:rPr>
        <w:t>平台现有应用软件、数据库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  <w:lang w:val="en-US" w:eastAsia="zh-CN"/>
        </w:rPr>
        <w:t>云服务器等系统资源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</w:rPr>
        <w:t>的巡检；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840"/>
          <w:tab w:val="left" w:pos="1060"/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</w:rPr>
        <w:t>检查系统数据的备份情况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840"/>
          <w:tab w:val="left" w:pos="1060"/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  <w:lang w:val="en-US" w:eastAsia="zh-CN"/>
        </w:rPr>
        <w:t>3.检查服务器和软件系统的安全配置情况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840"/>
          <w:tab w:val="left" w:pos="1060"/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  <w:lang w:val="en-US" w:eastAsia="zh-CN"/>
        </w:rPr>
        <w:t>4.处理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</w:rPr>
        <w:t>前一次巡检发现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</w:rPr>
        <w:t>问题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  <w:lang w:val="en-US" w:eastAsia="zh-CN"/>
        </w:rPr>
        <w:t>并检查问题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</w:rPr>
        <w:t>解决情况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840"/>
          <w:tab w:val="left" w:pos="1060"/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</w:rPr>
        <w:t>日常巡检每周至少一次，并在重大事件期间，加大监控力度，保证平台的稳定性。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40"/>
          <w:tab w:val="left" w:pos="1060"/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8"/>
          <w:sz w:val="32"/>
          <w:szCs w:val="32"/>
        </w:rPr>
        <w:t>系统监控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8"/>
          <w:sz w:val="32"/>
          <w:szCs w:val="32"/>
          <w:lang w:val="en-US" w:eastAsia="zh-CN"/>
        </w:rPr>
        <w:t>服务</w:t>
      </w:r>
    </w:p>
    <w:p>
      <w:pPr>
        <w:keepNext w:val="0"/>
        <w:keepLines w:val="0"/>
        <w:pageBreakBefore w:val="0"/>
        <w:widowControl/>
        <w:tabs>
          <w:tab w:val="left" w:pos="840"/>
          <w:tab w:val="left" w:pos="1060"/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</w:rPr>
        <w:t>具体监控内容包括：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840"/>
          <w:tab w:val="left" w:pos="1060"/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</w:rPr>
        <w:t>页面的登录及访问监控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  <w:lang w:val="en-US" w:eastAsia="zh-CN"/>
        </w:rPr>
        <w:t>监控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</w:rPr>
        <w:t>系统主页面、申请人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  <w:lang w:eastAsia="zh-CN"/>
        </w:rPr>
        <w:t>登录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</w:rPr>
        <w:t>页面及网页、管理用户登录页面、系统功能页面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  <w:lang w:val="en-US" w:eastAsia="zh-CN"/>
        </w:rPr>
        <w:t>运行是否正常。发现相关运行问题按照相关要求及时处理。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840"/>
          <w:tab w:val="left" w:pos="1060"/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  <w:lang w:val="en-US" w:eastAsia="zh-CN"/>
        </w:rPr>
        <w:t>2.服务器运行监控。监控本项目应用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</w:rPr>
        <w:t>服务器CPU占用率、内存、硬盘使用率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</w:rPr>
        <w:t>数据库服务器CPU占用率，内存、硬盘使用率等；实现5*8小时监控服务。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  <w:lang w:val="en-US" w:eastAsia="zh-CN"/>
        </w:rPr>
        <w:t>发现相关运行问题按照相关要求及时处理。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40"/>
          <w:tab w:val="left" w:pos="1060"/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</w:rPr>
        <w:t>系统BUG修改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  <w:lang w:val="en-US" w:eastAsia="zh-CN"/>
        </w:rPr>
        <w:t>服务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</w:rPr>
        <w:t>系统BUG修改服务是指运维服务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  <w:lang w:eastAsia="zh-CN"/>
        </w:rPr>
        <w:t>供应单位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</w:rPr>
        <w:t>根据用户的需求，在中山市“智慧民政”平台系统上BUG修改的服务。建立完善的系统BUG管理体系，每个BUG修复后形成相关文档；系统出现BUG后，需在5个工作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  <w:lang w:eastAsia="zh-CN"/>
        </w:rPr>
        <w:t>日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</w:rPr>
        <w:t>内完成修复；完成BUG修改提交完整的源代码。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40"/>
          <w:tab w:val="left" w:pos="1060"/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</w:rPr>
        <w:t>故障</w:t>
      </w:r>
      <w:bookmarkEnd w:id="0"/>
      <w:bookmarkEnd w:id="1"/>
      <w:bookmarkEnd w:id="2"/>
      <w:bookmarkEnd w:id="3"/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  <w:lang w:val="en-US" w:eastAsia="zh-CN"/>
        </w:rPr>
        <w:t>处理服务</w:t>
      </w:r>
    </w:p>
    <w:p>
      <w:pPr>
        <w:keepNext w:val="0"/>
        <w:keepLines w:val="0"/>
        <w:pageBreakBefore w:val="0"/>
        <w:widowControl/>
        <w:tabs>
          <w:tab w:val="left" w:pos="840"/>
          <w:tab w:val="left" w:pos="1060"/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  <w:lang w:val="en-US" w:eastAsia="zh-CN"/>
        </w:rPr>
        <w:t>当监控发现或用户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</w:rPr>
        <w:t>使用系统的过程中遇到疑难问题或系统出现不稳定情况，通过电话、邮件、传真等方式提出故障申告。运维服务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  <w:lang w:eastAsia="zh-CN"/>
        </w:rPr>
        <w:t>供应单位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</w:rPr>
        <w:t>接收故障申告后，根据故障类型分派给专业维护人员处理。运维服务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  <w:lang w:eastAsia="zh-CN"/>
        </w:rPr>
        <w:t>供应单位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</w:rPr>
        <w:t>提供每周7*24小时的电话受理服务</w:t>
      </w:r>
      <w:bookmarkStart w:id="4" w:name="_Toc240426365"/>
      <w:bookmarkStart w:id="5" w:name="_Toc239646410"/>
      <w:bookmarkStart w:id="6" w:name="_Toc239646076"/>
      <w:bookmarkStart w:id="7" w:name="_Toc239646189"/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40"/>
          <w:tab w:val="left" w:pos="1060"/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  <w:lang w:val="en-US" w:eastAsia="zh-CN"/>
        </w:rPr>
        <w:t>应急响应保障服务</w:t>
      </w:r>
    </w:p>
    <w:p>
      <w:pPr>
        <w:keepNext w:val="0"/>
        <w:keepLines w:val="0"/>
        <w:pageBreakBefore w:val="0"/>
        <w:widowControl/>
        <w:tabs>
          <w:tab w:val="left" w:pos="840"/>
          <w:tab w:val="left" w:pos="1060"/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</w:rPr>
        <w:t>针对突发信息安全事件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  <w:lang w:val="en-US" w:eastAsia="zh-CN"/>
        </w:rPr>
        <w:t>或严重系统异常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</w:rPr>
        <w:t>，提供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  <w:lang w:val="en-US" w:eastAsia="zh-CN"/>
        </w:rPr>
        <w:t>应急响应保障服务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</w:rPr>
        <w:t>主要包括应急响应服务内容如下：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840"/>
          <w:tab w:val="left" w:pos="1060"/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</w:rPr>
        <w:t>持续提升应急响应策略与流程；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840"/>
          <w:tab w:val="left" w:pos="1060"/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  <w:lang w:val="en-US" w:eastAsia="zh-CN"/>
        </w:rPr>
        <w:t>2.期间提供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</w:rPr>
        <w:t>每日7×24小时事件响应、应急响应、处理及恢复服务；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840"/>
          <w:tab w:val="left" w:pos="1060"/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</w:rPr>
        <w:t>重大事件保证1小时内到达现场，一般事件保证2小时内到达现场。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840"/>
          <w:tab w:val="left" w:pos="1060"/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</w:rPr>
        <w:t>现场事故处理完成后，负责提供后续相关报告编制服务。</w:t>
      </w:r>
    </w:p>
    <w:bookmarkEnd w:id="4"/>
    <w:bookmarkEnd w:id="5"/>
    <w:bookmarkEnd w:id="6"/>
    <w:bookmarkEnd w:id="7"/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40"/>
          <w:tab w:val="left" w:pos="1060"/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  <w:lang w:val="en-US" w:eastAsia="zh-CN"/>
        </w:rPr>
      </w:pPr>
      <w:bookmarkStart w:id="8" w:name="_Toc239646097"/>
      <w:bookmarkStart w:id="9" w:name="_Toc239646431"/>
      <w:bookmarkStart w:id="10" w:name="_Toc240426386"/>
      <w:bookmarkStart w:id="11" w:name="_Toc239646210"/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  <w:lang w:val="en-US" w:eastAsia="zh-CN"/>
        </w:rPr>
        <w:t>系统安全保障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32" w:rightChars="6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系统安全保障是本项目的重点，其主要需求包括：</w:t>
      </w:r>
    </w:p>
    <w:tbl>
      <w:tblPr>
        <w:tblStyle w:val="5"/>
        <w:tblW w:w="858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2109"/>
        <w:gridCol w:w="55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2" w:type="dxa"/>
            <w:shd w:val="clear" w:color="auto" w:fill="CCCCC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</w:rPr>
              <w:t>序号</w:t>
            </w:r>
          </w:p>
        </w:tc>
        <w:tc>
          <w:tcPr>
            <w:tcW w:w="2109" w:type="dxa"/>
            <w:shd w:val="clear" w:color="auto" w:fill="CCCCC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</w:rPr>
              <w:t>服务项目</w:t>
            </w:r>
          </w:p>
        </w:tc>
        <w:tc>
          <w:tcPr>
            <w:tcW w:w="5514" w:type="dxa"/>
            <w:shd w:val="clear" w:color="auto" w:fill="CCCCC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</w:rPr>
              <w:t>内  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32" w:rightChars="6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  <w:t>故障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或应急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  <w:t>处理</w:t>
            </w:r>
          </w:p>
        </w:tc>
        <w:tc>
          <w:tcPr>
            <w:tcW w:w="55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32" w:rightChars="6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  <w:t>响应时间：提供7×24小时电话技术支持；系统维护和备份服务提供5*8小时现场服务；系统出现故障时承诺每天（含节假日）24小时，接到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采购方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  <w:t>及用户故障要求维护的通知电话后，在约定的故障分析判断时间内进行故障分析判定，如需现场服务的应在1小时内到达现场进行现场服务。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32" w:rightChars="6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  <w:t>解决时间：一般故障在4小时之内解决；重大故障的24小时之内解决。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840"/>
                <w:tab w:val="left" w:pos="1060"/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8"/>
                <w:sz w:val="32"/>
                <w:szCs w:val="32"/>
                <w:lang w:val="en-US" w:eastAsia="zh-CN"/>
              </w:rPr>
              <w:t>（3）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8"/>
                <w:sz w:val="32"/>
                <w:szCs w:val="32"/>
              </w:rPr>
              <w:t>现场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8"/>
                <w:sz w:val="32"/>
                <w:szCs w:val="32"/>
                <w:lang w:val="en-US" w:eastAsia="zh-CN"/>
              </w:rPr>
              <w:t>故障或应急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8"/>
                <w:sz w:val="32"/>
                <w:szCs w:val="32"/>
              </w:rPr>
              <w:t>处理完成后，负责提供后续相关报告编制服务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8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8"/>
                <w:sz w:val="32"/>
                <w:szCs w:val="32"/>
                <w:lang w:val="en-US" w:eastAsia="zh-CN"/>
              </w:rPr>
              <w:t>根据问题分析结果，配合开展相关优化工作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8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32" w:rightChars="6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  <w:t>系统的配置管理，包括配置维护</w:t>
            </w:r>
          </w:p>
        </w:tc>
        <w:tc>
          <w:tcPr>
            <w:tcW w:w="55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32" w:rightChars="6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  <w:t>定时检查操作系统及支撑软件的系统配置，最大可能优化系统并做好安全设置。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32" w:rightChars="6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  <w:t>制订应急预案</w:t>
            </w:r>
          </w:p>
        </w:tc>
        <w:tc>
          <w:tcPr>
            <w:tcW w:w="55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32" w:rightChars="6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  <w:t>研究制订系统应急方预案，并且不断完善。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32" w:rightChars="6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  <w:t>完善应急系统部署</w:t>
            </w:r>
          </w:p>
        </w:tc>
        <w:tc>
          <w:tcPr>
            <w:tcW w:w="55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32" w:rightChars="6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  <w:t>根据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8"/>
                <w:sz w:val="32"/>
                <w:szCs w:val="32"/>
                <w:lang w:eastAsia="zh-CN"/>
              </w:rPr>
              <w:t>采购方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  <w:t>设备分布，部署应急系统，在故障发生时能够提供应急使用，纳入应急预案中管理。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32" w:rightChars="6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  <w:t>重大故障分析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  <w:t>告</w:t>
            </w:r>
          </w:p>
        </w:tc>
        <w:tc>
          <w:tcPr>
            <w:tcW w:w="55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  <w:t>每次出现重大故障时，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8"/>
                <w:sz w:val="32"/>
                <w:szCs w:val="32"/>
              </w:rPr>
              <w:t>运维服务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8"/>
                <w:sz w:val="32"/>
                <w:szCs w:val="32"/>
                <w:lang w:eastAsia="zh-CN"/>
              </w:rPr>
              <w:t>供应单位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  <w:t>事后需提供详细的故障分析报告，包括但不限于故障处理过程、故障原因分析、故障处理措施、系统维护改进措施等。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32" w:rightChars="6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  <w:t>系统运行报告</w:t>
            </w:r>
          </w:p>
        </w:tc>
        <w:tc>
          <w:tcPr>
            <w:tcW w:w="55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32" w:rightChars="6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  <w:t>负责监控系统的运行状况，并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  <w:t>每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个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  <w:t>工作日至少巡检系统一次，每月度提供系统运行报告，包括但不限于系统故障处理记录、系统备份记录、系统功能优化记录、系统运行情况等。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32" w:rightChars="6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  <w:t>数据交换</w:t>
            </w:r>
          </w:p>
        </w:tc>
        <w:tc>
          <w:tcPr>
            <w:tcW w:w="55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32" w:rightChars="6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  <w:t>根据需求对调整已有的数据交换接口，保证系统间正常的数据交换。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32" w:rightChars="6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  <w:t>数据备份</w:t>
            </w:r>
          </w:p>
        </w:tc>
        <w:tc>
          <w:tcPr>
            <w:tcW w:w="55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32" w:rightChars="6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  <w:t>根据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采购方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  <w:t>要求，完善数据备份方案并实施，保障系统安全。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32" w:rightChars="6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及时修复系统漏洞</w:t>
            </w:r>
          </w:p>
        </w:tc>
        <w:tc>
          <w:tcPr>
            <w:tcW w:w="55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32" w:rightChars="6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严格遵守云平台管理规定，及时修复系统漏洞。</w:t>
            </w:r>
          </w:p>
        </w:tc>
      </w:tr>
      <w:bookmarkEnd w:id="8"/>
      <w:bookmarkEnd w:id="9"/>
      <w:bookmarkEnd w:id="10"/>
      <w:bookmarkEnd w:id="11"/>
    </w:tbl>
    <w:p/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简标宋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3A01D1"/>
    <w:multiLevelType w:val="singleLevel"/>
    <w:tmpl w:val="733A01D1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2FF5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iPriority="39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szCs w:val="22"/>
    </w:rPr>
  </w:style>
  <w:style w:type="paragraph" w:styleId="3">
    <w:name w:val="toc 5"/>
    <w:basedOn w:val="1"/>
    <w:next w:val="1"/>
    <w:unhideWhenUsed/>
    <w:qFormat/>
    <w:uiPriority w:val="39"/>
    <w:pPr>
      <w:spacing w:line="240" w:lineRule="auto"/>
      <w:ind w:left="1680" w:leftChars="800" w:firstLine="0" w:firstLineChars="0"/>
    </w:pPr>
    <w:rPr>
      <w:rFonts w:eastAsia="宋体"/>
      <w:sz w:val="21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冯绮婷</cp:lastModifiedBy>
  <dcterms:modified xsi:type="dcterms:W3CDTF">2024-07-01T02:05:02Z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35C29D95335F49E39CF1A8FA37F9CCC6</vt:lpwstr>
  </property>
</Properties>
</file>