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/>
        <w:jc w:val="center"/>
        <w:textAlignment w:val="auto"/>
        <w:outlineLvl w:val="0"/>
        <w:rPr>
          <w:rFonts w:ascii="方正小标宋简体" w:hAnsi="方正小标宋简体" w:eastAsia="方正小标宋简体" w:cs="方正小标宋简体"/>
          <w:color w:val="auto"/>
          <w:spacing w:val="-6"/>
          <w:kern w:val="0"/>
          <w:sz w:val="44"/>
          <w:szCs w:val="44"/>
          <w:highlight w:val="none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highlight w:val="none"/>
          <w:u w:val="none"/>
          <w:lang w:val="en-US" w:eastAsia="zh-CN"/>
        </w:rPr>
        <w:t>黄圃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highlight w:val="none"/>
          <w:u w:val="none"/>
        </w:rPr>
        <w:t>镇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highlight w:val="none"/>
          <w:u w:val="none"/>
          <w:lang w:eastAsia="zh-CN"/>
        </w:rPr>
        <w:t>中山市中嘉商务服务有限公司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highlight w:val="none"/>
          <w:u w:val="none"/>
        </w:rPr>
        <w:t>“工改工”宗地项目“三旧”改造方案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924" w:firstLineChars="300"/>
        <w:textAlignment w:val="auto"/>
        <w:outlineLvl w:val="9"/>
        <w:rPr>
          <w:rFonts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16" w:firstLineChars="200"/>
        <w:textAlignment w:val="auto"/>
        <w:outlineLvl w:val="9"/>
        <w:rPr>
          <w:rFonts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highlight w:val="none"/>
          <w:u w:val="none"/>
        </w:rPr>
        <w:t>根据中山市城市更新（“三旧”改造）专项规划和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highlight w:val="none"/>
          <w:u w:val="none"/>
          <w:lang w:val="en-US" w:eastAsia="zh-CN"/>
        </w:rPr>
        <w:t>单元规划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黄圃镇政府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拟对位于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黄圃镇新地村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  <w:lang w:val="en-US" w:eastAsia="zh-CN"/>
        </w:rPr>
        <w:t>石峦、刘基贤、石建夫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等3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highlight w:val="none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旧厂房用地进行改造，由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  <w:lang w:val="en-US" w:eastAsia="zh-CN"/>
        </w:rPr>
        <w:t>石峦、刘基贤、石建夫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等3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人成立的项目公司中山市中嘉商务服务有限公司作为改造主体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自行改造，采取全面改造的改造方式。改造方案如下：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16" w:firstLineChars="200"/>
        <w:textAlignment w:val="auto"/>
        <w:outlineLvl w:val="0"/>
        <w:rPr>
          <w:rFonts w:ascii="黑体" w:hAnsi="黑体" w:eastAsia="黑体" w:cs="黑体"/>
          <w:color w:val="auto"/>
          <w:spacing w:val="-6"/>
          <w:kern w:val="0"/>
          <w:sz w:val="32"/>
          <w:szCs w:val="32"/>
          <w:highlight w:val="none"/>
          <w:u w:val="none"/>
        </w:rPr>
      </w:pPr>
      <w:r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  <w:highlight w:val="none"/>
          <w:u w:val="none"/>
        </w:rPr>
        <w:t>一、改造地块基本情况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16" w:firstLineChars="200"/>
        <w:textAlignment w:val="auto"/>
        <w:outlineLvl w:val="1"/>
        <w:rPr>
          <w:rFonts w:ascii="楷体" w:hAnsi="楷体" w:eastAsia="楷体" w:cs="楷体"/>
          <w:color w:val="auto"/>
          <w:spacing w:val="-6"/>
          <w:sz w:val="32"/>
          <w:szCs w:val="32"/>
          <w:highlight w:val="none"/>
          <w:u w:val="none"/>
        </w:rPr>
      </w:pPr>
      <w:r>
        <w:rPr>
          <w:rFonts w:hint="eastAsia" w:ascii="楷体" w:hAnsi="楷体" w:eastAsia="楷体" w:cs="楷体"/>
          <w:color w:val="auto"/>
          <w:spacing w:val="-6"/>
          <w:sz w:val="32"/>
          <w:szCs w:val="32"/>
          <w:highlight w:val="none"/>
          <w:u w:val="none"/>
        </w:rPr>
        <w:t>（一）总体情况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16" w:firstLineChars="200"/>
        <w:textAlignment w:val="auto"/>
        <w:outlineLvl w:val="9"/>
        <w:rPr>
          <w:rFonts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u w:val="none"/>
        </w:rPr>
        <w:t>改造地块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位于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黄圃镇新地村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，北至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新柳西路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，南至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中山市中嘉商务服务有限公司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，东至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新发南路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，西至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中山市宏顺五金精密制品有限公司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，用地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总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面积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4.429公顷（44289.77平方米，折合约66.43亩）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16" w:firstLineChars="200"/>
        <w:textAlignment w:val="auto"/>
        <w:outlineLvl w:val="1"/>
        <w:rPr>
          <w:rFonts w:ascii="楷体" w:hAnsi="楷体" w:eastAsia="楷体" w:cs="楷体"/>
          <w:color w:val="auto"/>
          <w:spacing w:val="-6"/>
          <w:sz w:val="32"/>
          <w:szCs w:val="32"/>
          <w:highlight w:val="none"/>
          <w:u w:val="none"/>
        </w:rPr>
      </w:pPr>
      <w:r>
        <w:rPr>
          <w:rFonts w:hint="eastAsia" w:ascii="楷体" w:hAnsi="楷体" w:eastAsia="楷体" w:cs="楷体"/>
          <w:color w:val="auto"/>
          <w:spacing w:val="-6"/>
          <w:sz w:val="32"/>
          <w:szCs w:val="32"/>
          <w:highlight w:val="none"/>
          <w:u w:val="none"/>
        </w:rPr>
        <w:t>（二）标图入库情况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16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改造地块于2011年6月已标图入库，图斑编号44200043507，</w:t>
      </w:r>
      <w:r>
        <w:rPr>
          <w:rFonts w:hint="default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图斑面积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44289.77</w:t>
      </w:r>
      <w:r>
        <w:rPr>
          <w:rFonts w:hint="default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平方米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，本次改造地块位于该图斑内</w:t>
      </w:r>
      <w:r>
        <w:rPr>
          <w:rFonts w:hint="default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，纳入本次改造范围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16" w:firstLineChars="200"/>
        <w:textAlignment w:val="auto"/>
        <w:outlineLvl w:val="1"/>
        <w:rPr>
          <w:rFonts w:ascii="楷体" w:hAnsi="楷体" w:eastAsia="楷体" w:cs="楷体"/>
          <w:color w:val="auto"/>
          <w:spacing w:val="-6"/>
          <w:sz w:val="32"/>
          <w:szCs w:val="32"/>
          <w:highlight w:val="none"/>
          <w:u w:val="none"/>
        </w:rPr>
      </w:pPr>
      <w:r>
        <w:rPr>
          <w:rFonts w:hint="eastAsia" w:ascii="楷体" w:hAnsi="楷体" w:eastAsia="楷体" w:cs="楷体"/>
          <w:color w:val="auto"/>
          <w:spacing w:val="-6"/>
          <w:sz w:val="32"/>
          <w:szCs w:val="32"/>
          <w:highlight w:val="none"/>
          <w:u w:val="none"/>
        </w:rPr>
        <w:t>（三）权属情况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16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改造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地块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属集体建设用地，</w:t>
      </w:r>
      <w:r>
        <w:rPr>
          <w:rFonts w:hint="eastAsia" w:ascii="仿宋_GB2312" w:hAnsi="仿宋_GB2312" w:eastAsia="仿宋_GB2312" w:cs="仿宋_GB2312"/>
          <w:spacing w:val="-6"/>
          <w:sz w:val="32"/>
          <w:lang w:val="en-US" w:eastAsia="zh-CN"/>
        </w:rPr>
        <w:t>已办理集体土地所有权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u w:val="none"/>
        </w:rPr>
        <w:t>，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u w:val="none"/>
          <w:lang w:val="en-US" w:eastAsia="zh-CN"/>
        </w:rPr>
        <w:t>土地所有权证号为粤（2024）中山市不动产权第0439191号，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权利人为中山市黄圃镇新地村股份合作经济联合社农民集体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为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  <w:lang w:val="en-US" w:eastAsia="zh-CN"/>
        </w:rPr>
        <w:t>石峦、刘基贤、石建夫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自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2003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月开始使用。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</w:rPr>
        <w:t>改造地块于</w:t>
      </w:r>
      <w:r>
        <w:rPr>
          <w:rFonts w:hint="default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  <w:t>1992年2月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</w:rPr>
        <w:t>由</w:t>
      </w:r>
      <w:r>
        <w:rPr>
          <w:rFonts w:hint="eastAsia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黄圃镇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</w:rPr>
        <w:t>下属全资集体企业</w:t>
      </w:r>
      <w:r>
        <w:rPr>
          <w:rFonts w:hint="default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  <w:t>中山市黄圃镇建设发展公司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</w:rPr>
        <w:t>与</w:t>
      </w:r>
      <w:r>
        <w:rPr>
          <w:rFonts w:hint="default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  <w:t>黄圃镇新地管理区（</w:t>
      </w:r>
      <w:r>
        <w:rPr>
          <w:rFonts w:hint="eastAsia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  <w:t>即</w:t>
      </w:r>
      <w:r>
        <w:rPr>
          <w:rFonts w:hint="default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  <w:t>现黄圃镇新地村民委员会）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</w:rPr>
        <w:t>签订征地协议书，</w:t>
      </w:r>
      <w:r>
        <w:rPr>
          <w:rFonts w:hint="eastAsia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  <w:t>于</w:t>
      </w:r>
      <w:r>
        <w:rPr>
          <w:rFonts w:hint="default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  <w:t>1993年至2006年期间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</w:rPr>
        <w:t>已全额支付兑现征地补偿款、青苗费等</w:t>
      </w:r>
      <w:r>
        <w:rPr>
          <w:rFonts w:hint="eastAsia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  <w:t>在1992年</w:t>
      </w:r>
      <w:r>
        <w:rPr>
          <w:rFonts w:hint="eastAsia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  <w:t>9月</w:t>
      </w:r>
      <w:r>
        <w:rPr>
          <w:rFonts w:hint="default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  <w:t>由黄圃镇建设发展公司与黄圃镇建设发展公司住宅分公司签订《转让土地合同书》将改造地块权益转让给黄圃镇建设发展公司住宅分公司</w:t>
      </w:r>
      <w:r>
        <w:rPr>
          <w:rFonts w:hint="eastAsia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  <w:t>，于</w:t>
      </w:r>
      <w:r>
        <w:rPr>
          <w:rFonts w:hint="default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  <w:t>1992年9月30日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</w:rPr>
        <w:t>已全额支付</w:t>
      </w:r>
      <w:r>
        <w:rPr>
          <w:rFonts w:hint="default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  <w:t>款项</w:t>
      </w:r>
      <w:r>
        <w:rPr>
          <w:rFonts w:hint="eastAsia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  <w:lang w:val="en-US" w:eastAsia="zh-CN"/>
        </w:rPr>
        <w:t>2003年10月14日黄圃镇建设发展公司住宅分公司与石峦、刘基贤、石建夫等3人签订《土地买卖协议书》</w:t>
      </w:r>
      <w:r>
        <w:rPr>
          <w:rFonts w:hint="eastAsia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  <w:t>将改造地块权益转让给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  <w:lang w:val="en-US" w:eastAsia="zh-CN"/>
        </w:rPr>
        <w:t>石峦、刘基贤、石建夫等3人</w:t>
      </w:r>
      <w:r>
        <w:rPr>
          <w:rFonts w:hint="eastAsia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  <w:t>，于2004年至2006年期间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</w:rPr>
        <w:t>已全额支付</w:t>
      </w:r>
      <w:r>
        <w:rPr>
          <w:rFonts w:hint="default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  <w:t>款项</w:t>
      </w:r>
      <w:r>
        <w:rPr>
          <w:rFonts w:hint="eastAsia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</w:rPr>
        <w:t>因历史原因该地块一直未完善用地手续。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16" w:firstLineChars="200"/>
        <w:textAlignment w:val="auto"/>
        <w:outlineLvl w:val="1"/>
        <w:rPr>
          <w:rFonts w:ascii="楷体" w:hAnsi="楷体" w:eastAsia="楷体" w:cs="楷体"/>
          <w:color w:val="auto"/>
          <w:spacing w:val="-6"/>
          <w:sz w:val="32"/>
          <w:szCs w:val="32"/>
          <w:highlight w:val="none"/>
          <w:u w:val="none"/>
        </w:rPr>
      </w:pPr>
      <w:r>
        <w:rPr>
          <w:rFonts w:hint="eastAsia" w:ascii="楷体" w:hAnsi="楷体" w:eastAsia="楷体" w:cs="楷体"/>
          <w:color w:val="auto"/>
          <w:spacing w:val="-6"/>
          <w:sz w:val="32"/>
          <w:szCs w:val="32"/>
          <w:highlight w:val="none"/>
          <w:u w:val="none"/>
        </w:rPr>
        <w:t>（四）土地利用现状情况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16" w:firstLineChars="200"/>
        <w:textAlignment w:val="auto"/>
        <w:outlineLvl w:val="9"/>
        <w:rPr>
          <w:rFonts w:hint="eastAsia" w:ascii="Times New Roman" w:hAnsi="Times New Roman" w:eastAsia="仿宋_GB2312" w:cs="仿宋_GB2312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  <w:t>改造地块</w:t>
      </w:r>
      <w:r>
        <w:rPr>
          <w:rFonts w:hint="eastAsia" w:ascii="Times New Roman" w:hAnsi="Times New Roman" w:eastAsia="仿宋_GB2312" w:cs="Times New Roman"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  <w:t>在二调及最新土地利用现状</w:t>
      </w:r>
      <w:r>
        <w:rPr>
          <w:rFonts w:hint="eastAsia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  <w:t>均</w:t>
      </w:r>
      <w:r>
        <w:rPr>
          <w:rFonts w:hint="default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  <w:t>为建设用地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highlight w:val="none"/>
          <w:u w:val="none"/>
          <w:lang w:val="en-US" w:eastAsia="zh-CN" w:bidi="ar-SA"/>
        </w:rPr>
        <w:t>。不涉及纳入改造范围整体利用的边角地、夹心地、插花地（下称“三地”）、其他用地、征地留用地、与原“三旧”用地置换的“三旧”用地或其他存量建设用地、使用原“三旧”用地复垦产生的规模或指标的非建设用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16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改造地块现用途为工业，有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栋建筑物，为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中山市中嘉商务服务有限公司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自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2005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月开始使用，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未办理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规划报建手续，现有建筑面积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51820.08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平方米，现状容积率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1.17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，作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</w:rPr>
        <w:t>工业厂房和配套用房使用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。目前该地块尚未拆除建筑，改造前年产值为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3000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万元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约45.16万元/亩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，年税收为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300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万元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约4.52万元/亩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16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highlight w:val="none"/>
          <w:u w:val="none"/>
        </w:rPr>
        <w:t>改造地块不涉及到闲置、抵押、历史文化资源要素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highlight w:val="none"/>
          <w:u w:val="none"/>
          <w:lang w:val="en-US" w:eastAsia="zh-CN"/>
        </w:rPr>
        <w:t>、森林资源以及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土壤环境潜在监管地块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highlight w:val="none"/>
          <w:u w:val="none"/>
        </w:rPr>
        <w:t>等情况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16" w:firstLineChars="200"/>
        <w:textAlignment w:val="auto"/>
        <w:outlineLvl w:val="1"/>
        <w:rPr>
          <w:rFonts w:ascii="楷体" w:hAnsi="楷体" w:eastAsia="楷体" w:cs="楷体"/>
          <w:color w:val="auto"/>
          <w:spacing w:val="-6"/>
          <w:sz w:val="32"/>
          <w:szCs w:val="32"/>
          <w:highlight w:val="none"/>
          <w:u w:val="none"/>
        </w:rPr>
      </w:pPr>
      <w:r>
        <w:rPr>
          <w:rFonts w:hint="eastAsia" w:ascii="楷体" w:hAnsi="楷体" w:eastAsia="楷体" w:cs="楷体"/>
          <w:color w:val="auto"/>
          <w:spacing w:val="-6"/>
          <w:sz w:val="32"/>
          <w:szCs w:val="32"/>
          <w:highlight w:val="none"/>
          <w:u w:val="none"/>
        </w:rPr>
        <w:t>（五）规划情况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16" w:firstLineChars="200"/>
        <w:textAlignment w:val="auto"/>
        <w:outlineLvl w:val="9"/>
        <w:rPr>
          <w:rFonts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改造地块符合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国土空间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总体规划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单元规划，已纳入《中山市城市更新（“三旧”改造）专项规划（2020-2035）》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。其中，在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国土空间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总体规划中，属城镇建设用地；在《中山市黄圃镇新丰南（新糖、文明）片区城市更新片区策划（HPZ-60单元规划）》（中府函〔2023〕122号）中，一类工业用地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4.0213公顷（40212.85平方米，折合约60.32亩)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，规划容积率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1-4.0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，建筑密度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35%-60%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，绿地率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10%-15%，生产性建筑高度≤70米（特殊工艺除外），配套设施建筑高度≤100米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u w:val="none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u w:val="none"/>
          <w:lang w:eastAsia="zh-CN"/>
        </w:rPr>
        <w:t>道路用地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u w:val="none"/>
          <w:lang w:val="en-US" w:eastAsia="zh-CN"/>
        </w:rPr>
        <w:t>0.057公顷(570.17平方米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u w:val="none"/>
          <w:lang w:eastAsia="zh-CN"/>
        </w:rPr>
        <w:t>，折合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u w:val="none"/>
          <w:lang w:val="en-US" w:eastAsia="zh-CN"/>
        </w:rPr>
        <w:t>0.8553亩)；防护绿地0.3507公顷(3506.75平方米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u w:val="none"/>
          <w:lang w:eastAsia="zh-CN"/>
        </w:rPr>
        <w:t>，折合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u w:val="none"/>
          <w:lang w:val="en-US" w:eastAsia="zh-CN"/>
        </w:rPr>
        <w:t>5.26亩)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16" w:firstLineChars="200"/>
        <w:textAlignment w:val="auto"/>
        <w:outlineLvl w:val="9"/>
        <w:rPr>
          <w:rFonts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改造地块位于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eastAsia="zh-CN"/>
        </w:rPr>
        <w:t>“三区三线”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城镇开发边界内，不涉及永久基本农田、生态保护红线等管控要求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16" w:firstLineChars="200"/>
        <w:textAlignment w:val="auto"/>
        <w:outlineLvl w:val="0"/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  <w:highlight w:val="none"/>
          <w:u w:val="none"/>
        </w:rPr>
        <w:t>改造意愿情况</w:t>
      </w:r>
      <w:r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及补偿安置情况</w:t>
      </w:r>
    </w:p>
    <w:p>
      <w:pPr>
        <w:spacing w:line="240" w:lineRule="auto"/>
        <w:ind w:firstLine="616" w:firstLineChars="200"/>
        <w:outlineLvl w:val="1"/>
        <w:rPr>
          <w:rFonts w:ascii="楷体" w:hAnsi="楷体" w:eastAsia="楷体" w:cs="楷体"/>
          <w:spacing w:val="-6"/>
          <w:kern w:val="0"/>
          <w:sz w:val="32"/>
          <w:szCs w:val="32"/>
          <w:highlight w:val="none"/>
          <w:u w:val="none"/>
        </w:rPr>
      </w:pPr>
      <w:r>
        <w:rPr>
          <w:rFonts w:hint="eastAsia" w:ascii="楷体" w:hAnsi="楷体" w:eastAsia="楷体" w:cs="楷体"/>
          <w:spacing w:val="-6"/>
          <w:kern w:val="0"/>
          <w:sz w:val="32"/>
          <w:szCs w:val="32"/>
          <w:highlight w:val="none"/>
          <w:u w:val="none"/>
        </w:rPr>
        <w:t>（一）改造意愿情况</w:t>
      </w:r>
    </w:p>
    <w:p>
      <w:pPr>
        <w:pStyle w:val="4"/>
        <w:spacing w:before="0" w:line="240" w:lineRule="auto"/>
        <w:ind w:left="111" w:right="111" w:firstLine="640"/>
        <w:jc w:val="both"/>
        <w:rPr>
          <w:rFonts w:hint="eastAsia" w:ascii="Times New Roman" w:hAnsi="Times New Roman" w:eastAsia="仿宋_GB2312" w:cs="仿宋_GB2312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>改造范围涉及</w:t>
      </w:r>
      <w:r>
        <w:rPr>
          <w:rFonts w:hint="eastAsia" w:ascii="Times New Roman" w:hAnsi="Times New Roman" w:cs="Times New Roman"/>
          <w:color w:val="auto"/>
          <w:spacing w:val="-6"/>
          <w:kern w:val="0"/>
          <w:sz w:val="32"/>
          <w:szCs w:val="32"/>
          <w:highlight w:val="none"/>
          <w:lang w:eastAsia="zh-CN"/>
        </w:rPr>
        <w:t>中山市中嘉商务服务有限公司</w:t>
      </w:r>
      <w:r>
        <w:rPr>
          <w:rFonts w:hint="eastAsia" w:ascii="Times New Roman" w:hAnsi="Times New Roman" w:cs="Times New Roman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>个权利主体，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黄圃镇政府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已按照法律法规，就改造范围、土地现状、改造主体及拟改造情况等事项征询涉及所有权利人改造意愿，同意将涉及土地、房屋纳入改造范围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highlight w:val="none"/>
          <w:u w:val="none"/>
          <w:lang w:val="en-US" w:eastAsia="zh-CN" w:bidi="ar-SA"/>
        </w:rPr>
        <w:t>。</w:t>
      </w:r>
    </w:p>
    <w:p>
      <w:pPr>
        <w:numPr>
          <w:ilvl w:val="0"/>
          <w:numId w:val="2"/>
        </w:numPr>
        <w:spacing w:line="240" w:lineRule="auto"/>
        <w:ind w:firstLine="616" w:firstLineChars="200"/>
        <w:outlineLvl w:val="1"/>
        <w:rPr>
          <w:rFonts w:ascii="楷体" w:hAnsi="楷体" w:eastAsia="楷体" w:cs="楷体"/>
          <w:spacing w:val="-6"/>
          <w:kern w:val="0"/>
          <w:sz w:val="32"/>
          <w:szCs w:val="32"/>
          <w:highlight w:val="none"/>
          <w:u w:val="none"/>
        </w:rPr>
      </w:pPr>
      <w:r>
        <w:rPr>
          <w:rFonts w:hint="eastAsia" w:ascii="楷体" w:hAnsi="楷体" w:eastAsia="楷体" w:cs="楷体"/>
          <w:spacing w:val="-6"/>
          <w:kern w:val="0"/>
          <w:sz w:val="32"/>
          <w:szCs w:val="32"/>
          <w:highlight w:val="none"/>
          <w:u w:val="none"/>
        </w:rPr>
        <w:t>补偿安置情况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92"/>
        <w:textAlignment w:val="auto"/>
        <w:outlineLvl w:val="9"/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  <w:t>改造地块已由中山市黄圃镇建设发展公司于1992年2月14日与所有权人黄圃镇新地管理区（现黄圃镇新地村民委员会）签订《关于征用新地管理区土地协议书》，总征地面积约900亩，采取货币补偿方式，于1993年至2006年期间黄圃镇建设发展公司已向新地管理区足额支付款项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92"/>
        <w:textAlignment w:val="auto"/>
        <w:outlineLvl w:val="9"/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  <w:lang w:val="en-US" w:eastAsia="zh-CN"/>
        </w:rPr>
        <w:t>2.在1992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</w:rPr>
        <w:t>年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  <w:lang w:val="en-US" w:eastAsia="zh-CN"/>
        </w:rPr>
        <w:t>9月5日由黄圃镇建设发展公司与黄圃镇建设发展公司住宅分公司签订《转让土地合同书》，黄圃镇建设发展公司住宅分公司有偿承接上述900亩中的344亩土地，黄圃镇建设发展公司住宅分公司于1992年9月30日已向黄圃镇建设发展公司</w:t>
      </w:r>
      <w:r>
        <w:rPr>
          <w:rFonts w:hint="default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  <w:t>足额支付款项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92"/>
        <w:textAlignment w:val="auto"/>
        <w:outlineLvl w:val="9"/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  <w:lang w:val="en-US" w:eastAsia="zh-CN"/>
        </w:rPr>
        <w:t>3.在2003年10月14日黄圃镇建设发展公司住宅分公司与石峦、刘基贤、石建夫等3人签订《土地买卖协议书》，石峦、刘基贤、石建夫等3人有偿承接上述344亩土地中的102.01亩用地，石峦、刘基贤、石建夫等3人于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2004年至2006年期间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  <w:lang w:val="en-US" w:eastAsia="zh-CN"/>
        </w:rPr>
        <w:t>已向黄圃镇建设发展公司住宅分公司足额支付款项。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highlight w:val="none"/>
          <w:u w:val="none"/>
          <w:lang w:val="en-US" w:eastAsia="zh-CN"/>
        </w:rPr>
        <w:t>本次承接土地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  <w:lang w:val="en-US" w:eastAsia="zh-CN"/>
        </w:rPr>
        <w:t>102.01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highlight w:val="none"/>
          <w:u w:val="none"/>
          <w:lang w:val="en-US" w:eastAsia="zh-CN"/>
        </w:rPr>
        <w:t>亩中有24.61亩用地已办理土地使用权证，本次纳入改造范围66.43亩，剩余土地面积10.97亩。经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  <w:lang w:val="en-US" w:eastAsia="zh-CN"/>
        </w:rPr>
        <w:t>石峦、刘基贤、石建夫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highlight w:val="none"/>
          <w:u w:val="none"/>
          <w:lang w:val="en-US" w:eastAsia="zh-CN"/>
        </w:rPr>
        <w:t>等3人确认同意按土地面积66.43亩实施改造，并自愿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放弃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highlight w:val="none"/>
          <w:u w:val="none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  <w:lang w:val="en-US" w:eastAsia="zh-CN"/>
        </w:rPr>
        <w:t>土地买卖协议书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highlight w:val="none"/>
          <w:u w:val="none"/>
          <w:lang w:val="en-US" w:eastAsia="zh-CN"/>
        </w:rPr>
        <w:t>》中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剩余用地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highlight w:val="none"/>
          <w:u w:val="none"/>
          <w:lang w:val="en-US" w:eastAsia="zh-CN"/>
        </w:rPr>
        <w:t>10.97亩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的所有土地权益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</w:rPr>
        <w:t>。</w:t>
      </w:r>
    </w:p>
    <w:p>
      <w:pPr>
        <w:widowControl/>
        <w:spacing w:line="574" w:lineRule="exact"/>
        <w:ind w:firstLine="616" w:firstLineChars="200"/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</w:rPr>
        <w:t>截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  <w:lang w:eastAsia="zh-CN"/>
        </w:rPr>
        <w:t>至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</w:rPr>
        <w:t>目前，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  <w:lang w:val="en-US" w:eastAsia="zh-CN"/>
        </w:rPr>
        <w:t>改造地块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</w:rPr>
        <w:t>的补偿安置等问题未引发任何纠纷，被征地农民对征地补偿安置也无不同意见。</w:t>
      </w:r>
      <w:r>
        <w:rPr>
          <w:rFonts w:hint="eastAsia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改造地块涉及违法用地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4.429公顷（44289.77平方米，折合约66.43亩）</w:t>
      </w:r>
      <w:r>
        <w:rPr>
          <w:rFonts w:hint="eastAsia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，中山市自然资源局已分别于2007年11月1日和2008年8月21日对该违法用地作出行政处罚决定（中国土资行决字〔2007〕第1908号和中土资执罚〔2008〕40号），按非法占用土地处以罚款共1,235,811元。上述行政处罚决定均已全部落实到位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numPr>
          <w:ilvl w:val="0"/>
          <w:numId w:val="2"/>
        </w:numPr>
        <w:spacing w:line="240" w:lineRule="auto"/>
        <w:ind w:firstLine="616" w:firstLineChars="200"/>
        <w:outlineLvl w:val="1"/>
        <w:rPr>
          <w:rFonts w:ascii="楷体" w:hAnsi="楷体" w:eastAsia="楷体" w:cs="楷体"/>
          <w:spacing w:val="-6"/>
          <w:kern w:val="0"/>
          <w:sz w:val="32"/>
          <w:szCs w:val="32"/>
          <w:highlight w:val="none"/>
          <w:u w:val="none"/>
        </w:rPr>
      </w:pPr>
      <w:r>
        <w:rPr>
          <w:rFonts w:hint="eastAsia" w:ascii="楷体" w:hAnsi="楷体" w:eastAsia="楷体" w:cs="楷体"/>
          <w:spacing w:val="-6"/>
          <w:kern w:val="0"/>
          <w:sz w:val="32"/>
          <w:szCs w:val="32"/>
          <w:highlight w:val="none"/>
          <w:u w:val="none"/>
        </w:rPr>
        <w:t>开展社会稳定风险评估情况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4" w:lineRule="exact"/>
        <w:ind w:firstLine="616" w:firstLineChars="200"/>
        <w:jc w:val="both"/>
        <w:textAlignment w:val="auto"/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社会</w:t>
      </w:r>
      <w:r>
        <w:rPr>
          <w:rFonts w:hint="eastAsia" w:ascii="Times New Roman" w:hAnsi="Times New Roman" w:eastAsia="仿宋_GB2312" w:cs="仿宋_GB2312"/>
          <w:color w:val="auto"/>
          <w:spacing w:val="-6"/>
          <w:kern w:val="0"/>
          <w:sz w:val="32"/>
          <w:szCs w:val="32"/>
          <w:highlight w:val="none"/>
        </w:rPr>
        <w:t>稳定风险评估范围为</w:t>
      </w:r>
      <w:r>
        <w:rPr>
          <w:rFonts w:hint="eastAsia" w:ascii="Times New Roman" w:hAnsi="Times New Roman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黄圃镇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highlight w:val="none"/>
          <w:lang w:val="en-US" w:eastAsia="zh-CN"/>
        </w:rPr>
        <w:t>中山市泓信电子科技有限公司“工改工”宗地项目、</w:t>
      </w:r>
      <w:r>
        <w:rPr>
          <w:rFonts w:hint="eastAsia" w:ascii="Times New Roman" w:hAnsi="Times New Roman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黄圃镇中山市中嘉商务服务有限公司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highlight w:val="none"/>
          <w:lang w:val="en-US" w:eastAsia="zh-CN"/>
        </w:rPr>
        <w:t>“工改工”宗地项</w:t>
      </w:r>
      <w:r>
        <w:rPr>
          <w:rFonts w:hint="eastAsia" w:ascii="Times New Roman" w:hAnsi="Times New Roman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范围内</w:t>
      </w:r>
      <w:r>
        <w:rPr>
          <w:rFonts w:hint="eastAsia" w:ascii="Times New Roman" w:hAnsi="Times New Roman" w:eastAsia="仿宋_GB2312" w:cs="仿宋_GB2312"/>
          <w:color w:val="auto"/>
          <w:spacing w:val="-6"/>
          <w:kern w:val="0"/>
          <w:sz w:val="32"/>
          <w:szCs w:val="32"/>
          <w:highlight w:val="none"/>
        </w:rPr>
        <w:t>，评估范围土地面积</w:t>
      </w:r>
      <w:r>
        <w:rPr>
          <w:rFonts w:hint="eastAsia" w:ascii="Times New Roman" w:hAnsi="Times New Roman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5.9496</w:t>
      </w:r>
      <w:r>
        <w:rPr>
          <w:rFonts w:hint="eastAsia" w:ascii="Times New Roman" w:hAnsi="Times New Roman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公顷</w:t>
      </w:r>
      <w:r>
        <w:rPr>
          <w:rFonts w:hint="eastAsia" w:ascii="Times New Roman" w:hAnsi="Times New Roman" w:eastAsia="仿宋_GB2312" w:cs="仿宋_GB2312"/>
          <w:color w:val="auto"/>
          <w:spacing w:val="-6"/>
          <w:kern w:val="0"/>
          <w:sz w:val="32"/>
          <w:szCs w:val="32"/>
          <w:highlight w:val="none"/>
        </w:rPr>
        <w:t>，包含本次</w:t>
      </w:r>
      <w:r>
        <w:rPr>
          <w:rFonts w:hint="eastAsia" w:ascii="Times New Roman" w:hAnsi="Times New Roman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项目</w:t>
      </w:r>
      <w:r>
        <w:rPr>
          <w:rFonts w:hint="eastAsia" w:ascii="Times New Roman" w:hAnsi="Times New Roman" w:eastAsia="仿宋_GB2312" w:cs="仿宋_GB2312"/>
          <w:color w:val="auto"/>
          <w:spacing w:val="-6"/>
          <w:kern w:val="0"/>
          <w:sz w:val="32"/>
          <w:szCs w:val="32"/>
          <w:highlight w:val="none"/>
        </w:rPr>
        <w:t>改造范围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4.429公顷（44289.77平方米，折合约66.43亩）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在内</w:t>
      </w:r>
      <w:r>
        <w:rPr>
          <w:rFonts w:hint="eastAsia" w:ascii="Times New Roman" w:hAnsi="Times New Roman" w:eastAsia="仿宋_GB2312" w:cs="仿宋_GB2312"/>
          <w:color w:val="auto"/>
          <w:spacing w:val="-6"/>
          <w:kern w:val="0"/>
          <w:sz w:val="32"/>
          <w:szCs w:val="32"/>
          <w:highlight w:val="none"/>
        </w:rPr>
        <w:t>。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黄圃镇人民政府已按规定开展社会稳定风险评估，根据社会稳定风险评估结果，本改造项目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实施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风险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防范化解措施后的风险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等级为低风险，主要存在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决策程序风险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用地手续办理风险、经济效益风险、产业外迁问题、项目管理风险、环境破坏风险、引发社会冲突风险、社会负面舆论风险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而风险防范、化解措施主要有以下几点：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>1、严格按照国家、广东省和中山市相关法律法规和政策文件等具体要求递交相关材料，履行项目相关报批手续,建立督办追责机制；2、落实专人，提高土地合法使用流程工作的质量和速度，确保材料的规范化、精简化。加强政策的宣传；3、加强补偿资金监管，确保补偿落实到利益相关者个体；4、对有关成本、支出内容进行预估与计算，建立岗位追究制度，建立资金发放的相互审核程序；5、项目运作过程数量化，确保责任清晰对内部组织的各类资源进行有效配置，选择优良组合；6、建立简易的声屏障、施工机械选用有消声装置。采取洒水湿法抑尘、篷布遮盖散料。集中堆放并收集处理。设置防雨水冲刷措施。合理安排施工组织计划；7、全面、及时地公开信息，多元化引导舆论严厉打击谣言，净化舆论环境；8、建立由政府主抓的多途径收集报送社会稳定风险信息的体系，建立风险预警机制，抓好信息收集工作。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  <w:t>责任主体为中山市黄圃镇人民政府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Times New Roman" w:hAnsi="Times New Roman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中山市中嘉商务服务有限公司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  <w:t>。</w:t>
      </w:r>
    </w:p>
    <w:p>
      <w:pPr>
        <w:widowControl/>
        <w:spacing w:line="240" w:lineRule="auto"/>
        <w:ind w:firstLine="616" w:firstLineChars="200"/>
        <w:rPr>
          <w:rFonts w:ascii="黑体" w:hAnsi="黑体" w:eastAsia="黑体" w:cs="黑体"/>
          <w:color w:val="auto"/>
          <w:spacing w:val="-6"/>
          <w:kern w:val="0"/>
          <w:sz w:val="32"/>
          <w:szCs w:val="32"/>
          <w:highlight w:val="none"/>
          <w:u w:val="none"/>
        </w:rPr>
      </w:pPr>
      <w:r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  <w:highlight w:val="none"/>
          <w:u w:val="none"/>
        </w:rPr>
        <w:t>三、改造主体及拟改造情况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16" w:firstLineChars="200"/>
        <w:textAlignment w:val="auto"/>
        <w:outlineLvl w:val="9"/>
        <w:rPr>
          <w:rFonts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根据有关规划要求，改造项目严格按照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国土空间</w:t>
      </w:r>
      <w:r>
        <w:rPr>
          <w:rFonts w:hint="eastAsia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总体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规划</w:t>
      </w:r>
      <w:r>
        <w:rPr>
          <w:rFonts w:hint="eastAsia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、单元规划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管控要求实施建设。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16" w:firstLineChars="200"/>
        <w:textAlignment w:val="auto"/>
        <w:outlineLvl w:val="9"/>
        <w:rPr>
          <w:rFonts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highlight w:val="none"/>
          <w:u w:val="none"/>
        </w:rPr>
        <w:t>该改造项目属“工改工”宗地项目，拟采取权利人自主改造方式，</w:t>
      </w:r>
      <w:r>
        <w:rPr>
          <w:rFonts w:hint="eastAsia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由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highlight w:val="none"/>
          <w:lang w:val="en-US" w:eastAsia="zh-CN"/>
        </w:rPr>
        <w:t>土地权利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highlight w:val="none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spacing w:val="-6"/>
          <w:sz w:val="32"/>
          <w:highlight w:val="none"/>
          <w:u w:val="none"/>
          <w:lang w:val="en-US" w:eastAsia="zh-CN"/>
        </w:rPr>
        <w:t>石峦、刘基贤、石建夫等3人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highlight w:val="none"/>
          <w:lang w:val="en-US" w:eastAsia="zh-CN"/>
        </w:rPr>
        <w:t>成立的全资项目公司中山市中嘉商务服务有限公司</w:t>
      </w:r>
      <w:r>
        <w:rPr>
          <w:rFonts w:hint="eastAsia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作为改造主体，实施全面改造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改造后将用于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highlight w:val="none"/>
          <w:u w:val="none"/>
        </w:rPr>
        <w:t>工业生产，作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highlight w:val="none"/>
          <w:u w:val="none"/>
          <w:lang w:val="en-US" w:eastAsia="zh-CN"/>
        </w:rPr>
        <w:t>智能家电、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塑料包装箱及容器制造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highlight w:val="none"/>
          <w:u w:val="none"/>
        </w:rPr>
        <w:t>研发及生产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，在符合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单元规划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的基础上，容积率不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小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于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2.08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，总建筑面积不小于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83780.2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平方米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无不计容建筑面积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，其中新建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计容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建筑面积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不小于52035.16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平方米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，不保留原有建筑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16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项目相关情况符合《产业结构调整指导目录》《中山市“三线一单”生态环境分区管控方案》《中山市涉挥发性有机物项目环保管理规定》相关规定。改造后预计年产值将达36192万元（约600万元/亩），年税收将达1206.4万元（约20万元/亩）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16" w:firstLineChars="200"/>
        <w:textAlignment w:val="auto"/>
        <w:outlineLvl w:val="0"/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  <w:highlight w:val="none"/>
          <w:u w:val="none"/>
        </w:rPr>
      </w:pPr>
      <w:r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  <w:highlight w:val="none"/>
          <w:u w:val="none"/>
        </w:rPr>
        <w:t>需办理的用地手续</w:t>
      </w:r>
    </w:p>
    <w:p>
      <w:pPr>
        <w:numPr>
          <w:ilvl w:val="0"/>
          <w:numId w:val="4"/>
        </w:numPr>
        <w:spacing w:line="574" w:lineRule="exact"/>
        <w:ind w:firstLine="616" w:firstLineChars="200"/>
        <w:rPr>
          <w:rFonts w:hint="default" w:ascii="Times New Roman" w:hAnsi="Times New Roman" w:eastAsia="楷体" w:cs="Times New Roman"/>
          <w:spacing w:val="-6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spacing w:val="-6"/>
          <w:kern w:val="0"/>
          <w:sz w:val="32"/>
          <w:szCs w:val="32"/>
          <w:highlight w:val="none"/>
          <w:lang w:val="en-US" w:eastAsia="zh-CN"/>
        </w:rPr>
        <w:t>集体土地完善转用、征收</w:t>
      </w:r>
      <w:r>
        <w:rPr>
          <w:rFonts w:hint="eastAsia" w:ascii="Times New Roman" w:hAnsi="Times New Roman" w:eastAsia="楷体" w:cs="Times New Roman"/>
          <w:spacing w:val="-6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spacing w:line="574" w:lineRule="exact"/>
        <w:ind w:firstLine="616" w:firstLineChars="200"/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改造范围内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4.429公顷（44289.77平方米，折合约66.43亩）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用地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需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办理集体土地完善转用、征收手续</w:t>
      </w:r>
      <w:r>
        <w:rPr>
          <w:rFonts w:hint="eastAsia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根据《广东省旧城镇旧厂房旧村庄改造管理办法》（粤府令第279号）《广东省“三旧”改造标图入库和用地报批工作指引（2021年版）（粤自然资函）〔2021〕935号》相关规定，改造地块符合办理集体土地完善转用、征收手续的要求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（具体土地面积以届时测量图纸为准）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spacing w:line="574" w:lineRule="exact"/>
        <w:ind w:firstLine="616" w:firstLineChars="200"/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楷体" w:cs="Times New Roman"/>
          <w:spacing w:val="-6"/>
          <w:kern w:val="0"/>
          <w:sz w:val="32"/>
          <w:szCs w:val="32"/>
          <w:highlight w:val="none"/>
          <w:lang w:val="en-US" w:eastAsia="zh-CN"/>
        </w:rPr>
        <w:t>（二）土地供应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16" w:firstLineChars="200"/>
        <w:textAlignment w:val="auto"/>
        <w:outlineLvl w:val="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上述用地完善转用、征收手续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后，依据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《中山市黄圃镇新丰南（新糖、文明）片区城市更新片区策划（HPZ-60单元规划）》（中府函〔2023〕122号）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u w:val="none"/>
          <w:lang w:val="en-US" w:eastAsia="zh-CN" w:bidi="ar-SA"/>
        </w:rPr>
        <w:t>地块一中规划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类工业用地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0.81公顷（8100.81平方米，折合约12.15亩)和地块二中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u w:val="none"/>
          <w:lang w:val="en-US" w:eastAsia="zh-CN" w:bidi="ar-SA"/>
        </w:rPr>
        <w:t>规划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类工业用地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3.2112公顷（32112.04平方米，折合约48.17亩)按照容积率不低于2.08分宗协议出让给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highlight w:val="none"/>
          <w:lang w:val="en-US" w:eastAsia="zh-CN"/>
        </w:rPr>
        <w:t>中山市中嘉商务服务有限公司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名下，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各宗地供地计划由黄圃镇政府与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highlight w:val="none"/>
          <w:lang w:val="en-US" w:eastAsia="zh-CN"/>
        </w:rPr>
        <w:t>中山市中嘉商务服务有限公司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协商一致及结合实际情况所申请的为准。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根据《广东省旧城镇旧厂房旧村庄改造管理办法》（粤府令第279号）规定，“三旧”用地、“三地”和其他用地，除政府收储后按照规定划拨或者公开出让的情形外，可以以协议方式出让给符合条件的改造主体，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改造地块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符合上述协议出让的条件；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highlight w:val="none"/>
          <w:lang w:val="en-US" w:eastAsia="zh-CN"/>
        </w:rPr>
        <w:t>其余规划为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highlight w:val="none"/>
          <w:lang w:val="en-US" w:eastAsia="zh-CN"/>
        </w:rPr>
        <w:t>道路用地0.057公顷(570.17平方米，折合0.8553亩)和防护绿地0.3507公顷(3506.75平方米，折合5.26亩)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拟采用无偿划拨方式供地给</w:t>
      </w:r>
      <w:r>
        <w:rPr>
          <w:rFonts w:hint="eastAsia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黄圃镇政府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（具体土地面积以届时测量图纸为准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16" w:firstLineChars="200"/>
        <w:textAlignment w:val="auto"/>
        <w:outlineLvl w:val="0"/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  <w:highlight w:val="none"/>
          <w:u w:val="none"/>
        </w:rPr>
      </w:pPr>
      <w:r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五</w:t>
      </w:r>
      <w:r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  <w:highlight w:val="none"/>
          <w:u w:val="none"/>
        </w:rPr>
        <w:t>资金筹措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92"/>
        <w:textAlignment w:val="auto"/>
        <w:outlineLvl w:val="9"/>
        <w:rPr>
          <w:rFonts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改造主体拟投入资金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24128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万元，其中自有资金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10000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万元。（最终以实际投入资金为准）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16" w:firstLineChars="200"/>
        <w:textAlignment w:val="auto"/>
        <w:outlineLvl w:val="0"/>
        <w:rPr>
          <w:rFonts w:ascii="黑体" w:hAnsi="黑体" w:eastAsia="黑体" w:cs="黑体"/>
          <w:color w:val="auto"/>
          <w:spacing w:val="-6"/>
          <w:kern w:val="0"/>
          <w:sz w:val="32"/>
          <w:szCs w:val="32"/>
          <w:highlight w:val="none"/>
          <w:u w:val="none"/>
        </w:rPr>
      </w:pPr>
      <w:r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  <w:highlight w:val="none"/>
          <w:u w:val="none"/>
        </w:rPr>
        <w:t>开发时序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16" w:firstLineChars="200"/>
        <w:textAlignment w:val="auto"/>
        <w:outlineLvl w:val="0"/>
        <w:rPr>
          <w:rFonts w:ascii="黑体" w:hAnsi="黑体" w:eastAsia="黑体"/>
          <w:color w:val="auto"/>
          <w:spacing w:val="-6"/>
          <w:kern w:val="0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>分宗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>协议出让的工业用地项目开发周期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>均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>为3年，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>均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>自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>签订土地交付确认书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>之日起365日内开工，自开工之日起1095日内竣工。其余规划为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>城市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>道路用地的开发时序以届时划拨决定书的条款为准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>具体开发时间以出让时设定的出让方案为准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>）。</w:t>
      </w:r>
      <w:r>
        <w:rPr>
          <w:rFonts w:hint="eastAsia" w:ascii="黑体" w:hAnsi="黑体" w:eastAsia="黑体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七</w:t>
      </w:r>
      <w:r>
        <w:rPr>
          <w:rFonts w:hint="eastAsia" w:ascii="黑体" w:hAnsi="黑体" w:eastAsia="黑体"/>
          <w:color w:val="auto"/>
          <w:spacing w:val="-6"/>
          <w:kern w:val="0"/>
          <w:sz w:val="32"/>
          <w:szCs w:val="32"/>
          <w:highlight w:val="none"/>
          <w:u w:val="none"/>
        </w:rPr>
        <w:t>、实施监管</w:t>
      </w:r>
    </w:p>
    <w:p>
      <w:pPr>
        <w:spacing w:line="240" w:lineRule="auto"/>
        <w:ind w:firstLine="616" w:firstLineChars="200"/>
        <w:rPr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详见项目实施监管协议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highlight w:val="none"/>
          <w:u w:val="none"/>
          <w:lang w:val="en-US" w:eastAsia="zh-CN" w:bidi="ar-SA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BFB5CB"/>
    <w:multiLevelType w:val="singleLevel"/>
    <w:tmpl w:val="A1BFB5C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3CDAFBE"/>
    <w:multiLevelType w:val="singleLevel"/>
    <w:tmpl w:val="13CDAFB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1CA85F6"/>
    <w:multiLevelType w:val="singleLevel"/>
    <w:tmpl w:val="61CA85F6"/>
    <w:lvl w:ilvl="0" w:tentative="0">
      <w:start w:val="2"/>
      <w:numFmt w:val="chineseCounting"/>
      <w:suff w:val="nothing"/>
      <w:lvlText w:val="（%1）"/>
      <w:lvlJc w:val="left"/>
    </w:lvl>
  </w:abstractNum>
  <w:abstractNum w:abstractNumId="3">
    <w:nsid w:val="61CA8AD6"/>
    <w:multiLevelType w:val="singleLevel"/>
    <w:tmpl w:val="61CA8AD6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xNjkyZWM2M2RlOGI4NGU0ZGFlYjViOGJhNzBhZWYifQ=="/>
  </w:docVars>
  <w:rsids>
    <w:rsidRoot w:val="00172A27"/>
    <w:rsid w:val="001E5AF4"/>
    <w:rsid w:val="002A5B0B"/>
    <w:rsid w:val="006B0659"/>
    <w:rsid w:val="018839D5"/>
    <w:rsid w:val="01A72FDB"/>
    <w:rsid w:val="02C9625F"/>
    <w:rsid w:val="02DF3C74"/>
    <w:rsid w:val="031E350F"/>
    <w:rsid w:val="03EF3D5B"/>
    <w:rsid w:val="04356C4A"/>
    <w:rsid w:val="04B44530"/>
    <w:rsid w:val="04CC1505"/>
    <w:rsid w:val="05074AE9"/>
    <w:rsid w:val="055A6B65"/>
    <w:rsid w:val="05D62509"/>
    <w:rsid w:val="06376388"/>
    <w:rsid w:val="063C4668"/>
    <w:rsid w:val="06983600"/>
    <w:rsid w:val="06AD3E4F"/>
    <w:rsid w:val="074645A3"/>
    <w:rsid w:val="074A408B"/>
    <w:rsid w:val="07DD0036"/>
    <w:rsid w:val="07F63695"/>
    <w:rsid w:val="0804772D"/>
    <w:rsid w:val="084118E7"/>
    <w:rsid w:val="0854599B"/>
    <w:rsid w:val="086E7AB3"/>
    <w:rsid w:val="08851B9C"/>
    <w:rsid w:val="09235369"/>
    <w:rsid w:val="09460051"/>
    <w:rsid w:val="09501A80"/>
    <w:rsid w:val="098959E5"/>
    <w:rsid w:val="0B727839"/>
    <w:rsid w:val="0B9B20C9"/>
    <w:rsid w:val="0BD00F0E"/>
    <w:rsid w:val="0BF77619"/>
    <w:rsid w:val="0BF8574A"/>
    <w:rsid w:val="0D1D1B2A"/>
    <w:rsid w:val="0DB06593"/>
    <w:rsid w:val="0E0245C2"/>
    <w:rsid w:val="0E3B38EF"/>
    <w:rsid w:val="0E422448"/>
    <w:rsid w:val="0E880CEF"/>
    <w:rsid w:val="106B3840"/>
    <w:rsid w:val="10903DD4"/>
    <w:rsid w:val="10EB0EBC"/>
    <w:rsid w:val="10F071EF"/>
    <w:rsid w:val="10F13C2A"/>
    <w:rsid w:val="111F631E"/>
    <w:rsid w:val="115B2212"/>
    <w:rsid w:val="11F34034"/>
    <w:rsid w:val="120D1A31"/>
    <w:rsid w:val="12532DCB"/>
    <w:rsid w:val="12E93AA8"/>
    <w:rsid w:val="13005CDA"/>
    <w:rsid w:val="14A41CC1"/>
    <w:rsid w:val="15235831"/>
    <w:rsid w:val="15771544"/>
    <w:rsid w:val="15F87315"/>
    <w:rsid w:val="15FD48CE"/>
    <w:rsid w:val="16766D2B"/>
    <w:rsid w:val="17C87EA6"/>
    <w:rsid w:val="17D379D1"/>
    <w:rsid w:val="17D472B4"/>
    <w:rsid w:val="18CB0F21"/>
    <w:rsid w:val="1A1109D3"/>
    <w:rsid w:val="1AA341E5"/>
    <w:rsid w:val="1B882414"/>
    <w:rsid w:val="1B8D4CA7"/>
    <w:rsid w:val="1BBE0186"/>
    <w:rsid w:val="1BC05FD1"/>
    <w:rsid w:val="1C0074A0"/>
    <w:rsid w:val="1C25518D"/>
    <w:rsid w:val="1CF46934"/>
    <w:rsid w:val="1CF50086"/>
    <w:rsid w:val="1D833B6B"/>
    <w:rsid w:val="1D8C221D"/>
    <w:rsid w:val="1E4C3FA6"/>
    <w:rsid w:val="1E9966F5"/>
    <w:rsid w:val="1F1F37C4"/>
    <w:rsid w:val="1FAE535E"/>
    <w:rsid w:val="1FCD2A31"/>
    <w:rsid w:val="20360B64"/>
    <w:rsid w:val="20791D29"/>
    <w:rsid w:val="20B90B70"/>
    <w:rsid w:val="210A089E"/>
    <w:rsid w:val="216B0E9D"/>
    <w:rsid w:val="218A1494"/>
    <w:rsid w:val="21D13E07"/>
    <w:rsid w:val="22253D6E"/>
    <w:rsid w:val="223F749B"/>
    <w:rsid w:val="232104C8"/>
    <w:rsid w:val="232D7947"/>
    <w:rsid w:val="23A84ADA"/>
    <w:rsid w:val="24003BF6"/>
    <w:rsid w:val="24182304"/>
    <w:rsid w:val="247E1D4C"/>
    <w:rsid w:val="2529568B"/>
    <w:rsid w:val="2596578B"/>
    <w:rsid w:val="2636232D"/>
    <w:rsid w:val="273307C3"/>
    <w:rsid w:val="27906D9E"/>
    <w:rsid w:val="27DE138E"/>
    <w:rsid w:val="2803492B"/>
    <w:rsid w:val="28F8523B"/>
    <w:rsid w:val="2A1E3DA8"/>
    <w:rsid w:val="2A2F321C"/>
    <w:rsid w:val="2B457908"/>
    <w:rsid w:val="2B6A62E5"/>
    <w:rsid w:val="2BFA7525"/>
    <w:rsid w:val="2C831CFB"/>
    <w:rsid w:val="2CC33271"/>
    <w:rsid w:val="2D5F7691"/>
    <w:rsid w:val="2D6B4ACF"/>
    <w:rsid w:val="2DB07E6B"/>
    <w:rsid w:val="2DEE6FD1"/>
    <w:rsid w:val="2E35154B"/>
    <w:rsid w:val="2E3F388D"/>
    <w:rsid w:val="2E7D5CEC"/>
    <w:rsid w:val="2ED44965"/>
    <w:rsid w:val="2EF12E46"/>
    <w:rsid w:val="2F2E2A75"/>
    <w:rsid w:val="2F3A1922"/>
    <w:rsid w:val="2FC8622C"/>
    <w:rsid w:val="30B52C18"/>
    <w:rsid w:val="31432EB6"/>
    <w:rsid w:val="31462D15"/>
    <w:rsid w:val="31940E9D"/>
    <w:rsid w:val="31C44443"/>
    <w:rsid w:val="31E5060C"/>
    <w:rsid w:val="31F06BEE"/>
    <w:rsid w:val="31F60213"/>
    <w:rsid w:val="32B94B7F"/>
    <w:rsid w:val="32D64AF4"/>
    <w:rsid w:val="33090A4C"/>
    <w:rsid w:val="332C7A82"/>
    <w:rsid w:val="3371251D"/>
    <w:rsid w:val="345C32D7"/>
    <w:rsid w:val="347673CF"/>
    <w:rsid w:val="348B0CC3"/>
    <w:rsid w:val="34B166F0"/>
    <w:rsid w:val="35011425"/>
    <w:rsid w:val="352914C3"/>
    <w:rsid w:val="357062E4"/>
    <w:rsid w:val="35992B6A"/>
    <w:rsid w:val="36D966D2"/>
    <w:rsid w:val="36FF649E"/>
    <w:rsid w:val="37587B8F"/>
    <w:rsid w:val="37A75606"/>
    <w:rsid w:val="3866359B"/>
    <w:rsid w:val="397C5C0A"/>
    <w:rsid w:val="39973DC2"/>
    <w:rsid w:val="3A275136"/>
    <w:rsid w:val="3AFA1D35"/>
    <w:rsid w:val="3B264E51"/>
    <w:rsid w:val="3B4B3764"/>
    <w:rsid w:val="3B6F7C91"/>
    <w:rsid w:val="3C3675B5"/>
    <w:rsid w:val="3CBA2A46"/>
    <w:rsid w:val="3D201F9D"/>
    <w:rsid w:val="3DCD63E6"/>
    <w:rsid w:val="3EC22D1E"/>
    <w:rsid w:val="3FDD1D5A"/>
    <w:rsid w:val="40365855"/>
    <w:rsid w:val="407C1EAF"/>
    <w:rsid w:val="40EF0320"/>
    <w:rsid w:val="4119275B"/>
    <w:rsid w:val="41A236B8"/>
    <w:rsid w:val="42B05A2E"/>
    <w:rsid w:val="43383798"/>
    <w:rsid w:val="43BC33EF"/>
    <w:rsid w:val="43ED1527"/>
    <w:rsid w:val="448D39C8"/>
    <w:rsid w:val="44A173DE"/>
    <w:rsid w:val="45326AFD"/>
    <w:rsid w:val="458451C3"/>
    <w:rsid w:val="46825B96"/>
    <w:rsid w:val="4689195C"/>
    <w:rsid w:val="469B7A1E"/>
    <w:rsid w:val="47540696"/>
    <w:rsid w:val="47733C56"/>
    <w:rsid w:val="47AC1C01"/>
    <w:rsid w:val="48365107"/>
    <w:rsid w:val="4869502A"/>
    <w:rsid w:val="488067C7"/>
    <w:rsid w:val="48E738D8"/>
    <w:rsid w:val="4AFF49AD"/>
    <w:rsid w:val="4B05188B"/>
    <w:rsid w:val="4B0572BF"/>
    <w:rsid w:val="4B12123F"/>
    <w:rsid w:val="4B804BC6"/>
    <w:rsid w:val="4BA62FEB"/>
    <w:rsid w:val="4C224A93"/>
    <w:rsid w:val="4D121E5F"/>
    <w:rsid w:val="4D303859"/>
    <w:rsid w:val="4D3075B3"/>
    <w:rsid w:val="4D5D2317"/>
    <w:rsid w:val="4D9F1237"/>
    <w:rsid w:val="4DF14327"/>
    <w:rsid w:val="4E3164DF"/>
    <w:rsid w:val="4E867D1B"/>
    <w:rsid w:val="4E9F265D"/>
    <w:rsid w:val="4ECF6297"/>
    <w:rsid w:val="4F402876"/>
    <w:rsid w:val="4FB61A39"/>
    <w:rsid w:val="4FFD4BCF"/>
    <w:rsid w:val="50142D79"/>
    <w:rsid w:val="50A043F1"/>
    <w:rsid w:val="510E360C"/>
    <w:rsid w:val="514B537B"/>
    <w:rsid w:val="518A5153"/>
    <w:rsid w:val="52272A36"/>
    <w:rsid w:val="523F1A59"/>
    <w:rsid w:val="528422DE"/>
    <w:rsid w:val="52A20535"/>
    <w:rsid w:val="52B95845"/>
    <w:rsid w:val="52DE4A08"/>
    <w:rsid w:val="53481C31"/>
    <w:rsid w:val="53C052D1"/>
    <w:rsid w:val="5468119C"/>
    <w:rsid w:val="55D70FE6"/>
    <w:rsid w:val="569C0B27"/>
    <w:rsid w:val="574D00A2"/>
    <w:rsid w:val="586A19D7"/>
    <w:rsid w:val="58B51802"/>
    <w:rsid w:val="590212BF"/>
    <w:rsid w:val="596B2CF1"/>
    <w:rsid w:val="597A7F49"/>
    <w:rsid w:val="598748D5"/>
    <w:rsid w:val="5A735474"/>
    <w:rsid w:val="5A7D2A4C"/>
    <w:rsid w:val="5A813DB9"/>
    <w:rsid w:val="5AD538F0"/>
    <w:rsid w:val="5B57291A"/>
    <w:rsid w:val="5B5E53AF"/>
    <w:rsid w:val="5C122925"/>
    <w:rsid w:val="5C656F61"/>
    <w:rsid w:val="5CBB3D0E"/>
    <w:rsid w:val="5D510CFE"/>
    <w:rsid w:val="5DC02C64"/>
    <w:rsid w:val="5DFC50BD"/>
    <w:rsid w:val="5E65205F"/>
    <w:rsid w:val="5E6904AC"/>
    <w:rsid w:val="5F8846D0"/>
    <w:rsid w:val="5FA46DEB"/>
    <w:rsid w:val="60144371"/>
    <w:rsid w:val="61175300"/>
    <w:rsid w:val="61282C09"/>
    <w:rsid w:val="61322479"/>
    <w:rsid w:val="61DF07AD"/>
    <w:rsid w:val="635C3190"/>
    <w:rsid w:val="63AC0F0A"/>
    <w:rsid w:val="63DC2A9A"/>
    <w:rsid w:val="643F6B0E"/>
    <w:rsid w:val="65CD4675"/>
    <w:rsid w:val="661C5A8A"/>
    <w:rsid w:val="662D7DCA"/>
    <w:rsid w:val="665621B0"/>
    <w:rsid w:val="665D0100"/>
    <w:rsid w:val="66DF7F3C"/>
    <w:rsid w:val="67812F18"/>
    <w:rsid w:val="67B84CED"/>
    <w:rsid w:val="67D24FF9"/>
    <w:rsid w:val="6803176C"/>
    <w:rsid w:val="68526375"/>
    <w:rsid w:val="685A4440"/>
    <w:rsid w:val="68A40908"/>
    <w:rsid w:val="68BB4C67"/>
    <w:rsid w:val="68DA0368"/>
    <w:rsid w:val="6A0A3849"/>
    <w:rsid w:val="6A2B23C0"/>
    <w:rsid w:val="6A670F20"/>
    <w:rsid w:val="6AB64CD9"/>
    <w:rsid w:val="6AF119FD"/>
    <w:rsid w:val="6B2B392B"/>
    <w:rsid w:val="6B665DAF"/>
    <w:rsid w:val="6B6F0377"/>
    <w:rsid w:val="6BC32EA9"/>
    <w:rsid w:val="6BD20A12"/>
    <w:rsid w:val="6CF059EC"/>
    <w:rsid w:val="6D432D66"/>
    <w:rsid w:val="6D70219D"/>
    <w:rsid w:val="6D8C6249"/>
    <w:rsid w:val="6DA66833"/>
    <w:rsid w:val="6DB9336E"/>
    <w:rsid w:val="6E7D0E7F"/>
    <w:rsid w:val="6EE449F0"/>
    <w:rsid w:val="6F404AD0"/>
    <w:rsid w:val="6FAD6F8F"/>
    <w:rsid w:val="70433410"/>
    <w:rsid w:val="70DA2C14"/>
    <w:rsid w:val="70E602C5"/>
    <w:rsid w:val="7113031F"/>
    <w:rsid w:val="71514B0E"/>
    <w:rsid w:val="71AB4BC9"/>
    <w:rsid w:val="71D376AB"/>
    <w:rsid w:val="71D84C0C"/>
    <w:rsid w:val="7203200C"/>
    <w:rsid w:val="720860A3"/>
    <w:rsid w:val="72C22D2A"/>
    <w:rsid w:val="72E54A6D"/>
    <w:rsid w:val="72F16D64"/>
    <w:rsid w:val="7303749F"/>
    <w:rsid w:val="73303C0B"/>
    <w:rsid w:val="734B2162"/>
    <w:rsid w:val="73D71C33"/>
    <w:rsid w:val="73E97B4F"/>
    <w:rsid w:val="743D707D"/>
    <w:rsid w:val="746D4CE0"/>
    <w:rsid w:val="75EC3788"/>
    <w:rsid w:val="76472A21"/>
    <w:rsid w:val="76573DB4"/>
    <w:rsid w:val="77357EED"/>
    <w:rsid w:val="774A077F"/>
    <w:rsid w:val="778F480C"/>
    <w:rsid w:val="77D4405B"/>
    <w:rsid w:val="77D8682E"/>
    <w:rsid w:val="77FB6E22"/>
    <w:rsid w:val="78870772"/>
    <w:rsid w:val="78A020B2"/>
    <w:rsid w:val="78EB4316"/>
    <w:rsid w:val="78F700D0"/>
    <w:rsid w:val="79DE2099"/>
    <w:rsid w:val="7A4D3C81"/>
    <w:rsid w:val="7AD912FD"/>
    <w:rsid w:val="7B346823"/>
    <w:rsid w:val="7B42234B"/>
    <w:rsid w:val="7B6A03EC"/>
    <w:rsid w:val="7BCE5F4B"/>
    <w:rsid w:val="7BD215B2"/>
    <w:rsid w:val="7C486056"/>
    <w:rsid w:val="7C560928"/>
    <w:rsid w:val="7E306FD4"/>
    <w:rsid w:val="7E4F5CB2"/>
    <w:rsid w:val="7E706F04"/>
    <w:rsid w:val="7E9052F2"/>
    <w:rsid w:val="7EB50CBA"/>
    <w:rsid w:val="7F2D459B"/>
    <w:rsid w:val="7FDA2751"/>
    <w:rsid w:val="F5EF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unhideWhenUsed/>
    <w:qFormat/>
    <w:uiPriority w:val="99"/>
    <w:pPr>
      <w:widowControl/>
      <w:spacing w:before="120" w:after="100" w:afterAutospacing="1"/>
    </w:pPr>
    <w:rPr>
      <w:rFonts w:ascii="Arial" w:hAnsi="Arial" w:eastAsia="宋体" w:cs="Arial"/>
      <w:sz w:val="24"/>
      <w:szCs w:val="24"/>
      <w:lang w:bidi="gu-IN"/>
    </w:rPr>
  </w:style>
  <w:style w:type="paragraph" w:styleId="4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</w:rPr>
  </w:style>
  <w:style w:type="paragraph" w:styleId="5">
    <w:name w:val="toc 5"/>
    <w:basedOn w:val="1"/>
    <w:next w:val="1"/>
    <w:qFormat/>
    <w:uiPriority w:val="0"/>
    <w:pPr>
      <w:widowControl w:val="0"/>
      <w:autoSpaceDE w:val="0"/>
      <w:autoSpaceDN w:val="0"/>
      <w:adjustRightInd w:val="0"/>
      <w:snapToGrid w:val="0"/>
      <w:spacing w:line="300" w:lineRule="auto"/>
      <w:ind w:left="1680"/>
      <w:jc w:val="both"/>
    </w:pPr>
    <w:rPr>
      <w:rFonts w:ascii="Times New Roman" w:hAnsi="Times New Roman" w:eastAsia="方正仿宋简体" w:cs="Times New Roman"/>
      <w:snapToGrid w:val="0"/>
      <w:spacing w:val="6"/>
      <w:kern w:val="32"/>
      <w:sz w:val="32"/>
      <w:szCs w:val="24"/>
      <w:lang w:val="en-US" w:eastAsia="zh-CN" w:bidi="ar-SA"/>
    </w:rPr>
  </w:style>
  <w:style w:type="paragraph" w:styleId="6">
    <w:name w:val="Body Text Indent 2"/>
    <w:basedOn w:val="1"/>
    <w:qFormat/>
    <w:uiPriority w:val="0"/>
    <w:pPr>
      <w:ind w:firstLine="480"/>
    </w:pPr>
    <w:rPr>
      <w:rFonts w:ascii="宋体" w:hAnsi="宋体"/>
      <w:color w:val="000000"/>
      <w:sz w:val="24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character" w:styleId="12">
    <w:name w:val="footnote reference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3794</Words>
  <Characters>4250</Characters>
  <Lines>0</Lines>
  <Paragraphs>0</Paragraphs>
  <TotalTime>2</TotalTime>
  <ScaleCrop>false</ScaleCrop>
  <LinksUpToDate>false</LinksUpToDate>
  <CharactersWithSpaces>4250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2022-10-09T11:17:00Z</dcterms:created>
  <dc:creator>Administrator</dc:creator>
  <cp:lastModifiedBy>greatwall</cp:lastModifiedBy>
  <cp:lastPrinted>2022-11-07T13:14:00Z</cp:lastPrinted>
  <dcterms:modified xsi:type="dcterms:W3CDTF">2024-07-01T16:25:09Z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691A31C3F55741D99067FD12748C64F0</vt:lpwstr>
  </property>
</Properties>
</file>