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3 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事项执行清单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省级及以上审批层级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监管权在地市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中山市市场监督管理局</w:t>
      </w: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sectPr>
          <w:pgSz w:w="11906" w:h="16838"/>
          <w:pgMar w:top="1440" w:right="1417" w:bottom="1440" w:left="1417" w:header="851" w:footer="992" w:gutter="0"/>
          <w:pgNumType w:fmt="numberInDash" w:start="0"/>
          <w:cols w:space="720" w:num="1"/>
          <w:rtlGutter w:val="0"/>
          <w:docGrid w:type="linesAndChars" w:linePitch="581" w:charSpace="-3605"/>
        </w:sectPr>
      </w:pPr>
    </w:p>
    <w:p>
      <w:pPr>
        <w:jc w:val="center"/>
        <w:rPr>
          <w:rFonts w:hint="eastAsia" w:ascii="仿宋_GB2312" w:hAnsi="仿宋_GB2312" w:cs="仿宋_GB2312"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>检验检测机构资质认定</w:t>
      </w:r>
    </w:p>
    <w:p>
      <w:pPr>
        <w:jc w:val="both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  <w:t xml:space="preserve">    </w:t>
      </w:r>
    </w:p>
    <w:p>
      <w:pPr>
        <w:ind w:firstLine="606" w:firstLineChars="200"/>
        <w:jc w:val="both"/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一、主管科室</w:t>
      </w:r>
    </w:p>
    <w:p>
      <w:pPr>
        <w:ind w:firstLine="606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eastAsia="zh-CN"/>
        </w:rPr>
        <w:t>质量发展科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二、法律依据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cs="仿宋_GB2312"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  <w:t xml:space="preserve">    《中华人民共和国产品质量法》《中华人民共和国食品安全法》《中华人民共和国认证认可条例》《检验检测机构资质认定管理办法》</w:t>
      </w:r>
    </w:p>
    <w:p>
      <w:pPr>
        <w:numPr>
          <w:ilvl w:val="0"/>
          <w:numId w:val="0"/>
        </w:numPr>
        <w:ind w:firstLine="604"/>
        <w:jc w:val="both"/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三、监管措施</w:t>
      </w:r>
    </w:p>
    <w:p>
      <w:pPr>
        <w:numPr>
          <w:ilvl w:val="0"/>
          <w:numId w:val="0"/>
        </w:numPr>
        <w:ind w:firstLine="604"/>
        <w:jc w:val="both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  <w:t>（一）开展“双随机、一公开”监管，对社会关注度高、风险等级高、投诉举报多的领域实施重点监管。</w:t>
      </w:r>
    </w:p>
    <w:p>
      <w:pPr>
        <w:numPr>
          <w:ilvl w:val="0"/>
          <w:numId w:val="0"/>
        </w:numPr>
        <w:ind w:firstLine="604"/>
        <w:jc w:val="both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  <w:t>（二）加强信用监管，向社会公布检验检测机构检查情况。</w:t>
      </w:r>
    </w:p>
    <w:p>
      <w:pPr>
        <w:numPr>
          <w:ilvl w:val="0"/>
          <w:numId w:val="0"/>
        </w:numPr>
        <w:ind w:firstLine="604"/>
        <w:jc w:val="both"/>
        <w:rPr>
          <w:rFonts w:hint="default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>食品相关产品生产许可证核发</w:t>
      </w:r>
    </w:p>
    <w:p>
      <w:pPr>
        <w:jc w:val="both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  <w:t xml:space="preserve">    </w:t>
      </w:r>
    </w:p>
    <w:p>
      <w:pPr>
        <w:ind w:firstLine="606" w:firstLineChars="200"/>
        <w:jc w:val="both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一、主管科室</w:t>
      </w:r>
    </w:p>
    <w:p>
      <w:pPr>
        <w:ind w:firstLine="606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eastAsia="zh-CN"/>
        </w:rPr>
        <w:t>食品生产科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二、法律依据</w:t>
      </w:r>
    </w:p>
    <w:p>
      <w:pPr>
        <w:ind w:firstLine="606" w:firstLineChars="200"/>
        <w:jc w:val="both"/>
        <w:rPr>
          <w:rFonts w:hint="default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《中华人民共和国食品安全法》《中华人民共和国工业产品生产许可证管理条例》</w:t>
      </w:r>
    </w:p>
    <w:p>
      <w:pPr>
        <w:numPr>
          <w:ilvl w:val="0"/>
          <w:numId w:val="0"/>
        </w:numPr>
        <w:ind w:firstLine="604"/>
        <w:jc w:val="both"/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三、监管措施</w:t>
      </w:r>
    </w:p>
    <w:p>
      <w:pPr>
        <w:ind w:firstLine="606" w:firstLineChars="200"/>
        <w:jc w:val="both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（一）配合省局对通过告知承诺取得许可证（包括许可范围变更）及许可有效期届满延期换证的企业开展后置现场审查，发现虚假承诺或者承诺严重不实的要依法处理。</w:t>
      </w:r>
    </w:p>
    <w:p>
      <w:pPr>
        <w:ind w:firstLine="606" w:firstLineChars="200"/>
        <w:jc w:val="both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（二）开展“双随机、一公开”监管，发现违法违规行为的要依法严查重处并公开结果。</w:t>
      </w: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>医疗器械互联网信息服务审批</w:t>
      </w:r>
    </w:p>
    <w:p>
      <w:pPr>
        <w:jc w:val="both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  <w:t xml:space="preserve">    </w:t>
      </w:r>
    </w:p>
    <w:p>
      <w:pPr>
        <w:ind w:firstLine="606" w:firstLineChars="200"/>
        <w:jc w:val="both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一、主管科室</w:t>
      </w:r>
    </w:p>
    <w:p>
      <w:pPr>
        <w:ind w:firstLine="606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eastAsia="zh-CN"/>
        </w:rPr>
        <w:t>医疗器械科</w:t>
      </w:r>
    </w:p>
    <w:p>
      <w:pPr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仿宋_GB2312"/>
          <w:bCs/>
          <w:sz w:val="32"/>
          <w:szCs w:val="32"/>
        </w:rPr>
        <w:t xml:space="preserve"> 二、法律依据</w:t>
      </w:r>
    </w:p>
    <w:p>
      <w:pPr>
        <w:ind w:firstLine="604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医疗器械监督管理条例》（国务院令第680号）、《医疗器械经营监督管理办法》（国家食品药品监督管理总局令第8号公布）、《医疗器械经营质量管理规范》（国家食品药品监督管理总局公告第58号）、《医疗器械网络销售监督管理办法》（国家食品药品监督管理总局令第38号）</w:t>
      </w:r>
    </w:p>
    <w:p>
      <w:pPr>
        <w:ind w:firstLine="604"/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三、监管措施</w:t>
      </w:r>
    </w:p>
    <w:p>
      <w:pPr>
        <w:ind w:firstLine="604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  <w:lang w:eastAsia="zh-CN"/>
        </w:rPr>
        <w:t>依据“双随机</w:t>
      </w:r>
      <w:r>
        <w:rPr>
          <w:rFonts w:hint="eastAsia" w:ascii="仿宋" w:hAnsi="仿宋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一公开”原则开展监督检查。</w:t>
      </w:r>
    </w:p>
    <w:p>
      <w:pPr>
        <w:numPr>
          <w:ilvl w:val="0"/>
          <w:numId w:val="0"/>
        </w:numPr>
        <w:ind w:firstLine="604"/>
        <w:jc w:val="both"/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eastAsia="zh-CN"/>
        </w:rPr>
        <w:t>（二）</w:t>
      </w:r>
      <w:r>
        <w:rPr>
          <w:rFonts w:ascii="仿宋" w:hAnsi="仿宋" w:eastAsia="仿宋"/>
          <w:sz w:val="32"/>
          <w:szCs w:val="32"/>
        </w:rPr>
        <w:t>组织企业自查，</w:t>
      </w:r>
      <w:r>
        <w:rPr>
          <w:rFonts w:hint="eastAsia" w:ascii="仿宋" w:hAnsi="仿宋" w:eastAsia="仿宋"/>
          <w:sz w:val="32"/>
          <w:szCs w:val="32"/>
        </w:rPr>
        <w:t>强化</w:t>
      </w:r>
      <w:r>
        <w:rPr>
          <w:rFonts w:hint="eastAsia" w:ascii="仿宋" w:hAnsi="仿宋" w:eastAsia="仿宋"/>
          <w:sz w:val="32"/>
          <w:szCs w:val="32"/>
          <w:lang w:eastAsia="zh-CN"/>
        </w:rPr>
        <w:t>企业</w:t>
      </w:r>
      <w:r>
        <w:rPr>
          <w:rFonts w:ascii="仿宋" w:hAnsi="仿宋" w:eastAsia="仿宋"/>
          <w:sz w:val="32"/>
          <w:szCs w:val="32"/>
        </w:rPr>
        <w:t>主体责任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>食盐定点生产企业审批</w:t>
      </w:r>
    </w:p>
    <w:p>
      <w:pPr>
        <w:jc w:val="both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  <w:t xml:space="preserve">    </w:t>
      </w:r>
    </w:p>
    <w:p>
      <w:pPr>
        <w:ind w:firstLine="606" w:firstLineChars="200"/>
        <w:jc w:val="both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一、主管科室</w:t>
      </w:r>
    </w:p>
    <w:p>
      <w:pPr>
        <w:ind w:firstLine="606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eastAsia="zh-CN"/>
        </w:rPr>
        <w:t>食品生产科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二、法律依据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 xml:space="preserve"> 《食盐专营办法》</w:t>
      </w:r>
    </w:p>
    <w:p>
      <w:pPr>
        <w:numPr>
          <w:ilvl w:val="0"/>
          <w:numId w:val="0"/>
        </w:numPr>
        <w:ind w:firstLine="604"/>
        <w:jc w:val="both"/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三、监管措施</w:t>
      </w:r>
    </w:p>
    <w:p>
      <w:pPr>
        <w:numPr>
          <w:ilvl w:val="0"/>
          <w:numId w:val="0"/>
        </w:numPr>
        <w:ind w:firstLine="606" w:firstLineChars="200"/>
        <w:jc w:val="both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（一）严格执行有关法律法规和标准，对食盐定点生产企业加强监管。</w:t>
      </w:r>
    </w:p>
    <w:p>
      <w:pPr>
        <w:numPr>
          <w:ilvl w:val="0"/>
          <w:numId w:val="0"/>
        </w:numPr>
        <w:ind w:firstLine="606" w:firstLineChars="200"/>
        <w:jc w:val="both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（二）加强信用监管，向社会公布食盐定点生产企业信用状况，对失信主体开展联合惩戒。</w:t>
      </w: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>食品生产许可</w:t>
      </w:r>
    </w:p>
    <w:p>
      <w:pPr>
        <w:jc w:val="both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  <w:t xml:space="preserve">    </w:t>
      </w:r>
    </w:p>
    <w:p>
      <w:pPr>
        <w:ind w:firstLine="606" w:firstLineChars="200"/>
        <w:jc w:val="both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一、主管科室</w:t>
      </w:r>
    </w:p>
    <w:p>
      <w:pPr>
        <w:ind w:firstLine="606" w:firstLineChars="200"/>
        <w:jc w:val="both"/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特殊食品化妆品科、信用监督科</w:t>
      </w:r>
    </w:p>
    <w:p>
      <w:pPr>
        <w:ind w:firstLine="606" w:firstLineChars="200"/>
        <w:jc w:val="both"/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二、法律依据</w:t>
      </w:r>
    </w:p>
    <w:p>
      <w:pPr>
        <w:ind w:firstLine="606" w:firstLineChars="200"/>
        <w:jc w:val="both"/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《食品安全法》、《广东省食品安全条例》以及其他规则及有关文件</w:t>
      </w:r>
    </w:p>
    <w:p>
      <w:pPr>
        <w:ind w:firstLine="606" w:firstLineChars="200"/>
        <w:jc w:val="both"/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三、监管措施</w:t>
      </w:r>
    </w:p>
    <w:p>
      <w:pPr>
        <w:ind w:firstLine="606" w:firstLineChars="200"/>
        <w:jc w:val="both"/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（一）特殊食品生产企业作为高风险、重点监管领域，未列入市场监管总局“双随机、一公开”抽查事项清单，仍继续按现有方式严格监管。按照风险分级管理和日常监管全覆盖的原则，开展日常监督检查。加大监督检查和抽检力度，按照日常监管全覆盖的原则，发现违法违规行为的要依法严查重处并公开结果。</w:t>
      </w:r>
    </w:p>
    <w:p>
      <w:pPr>
        <w:ind w:firstLine="606" w:firstLineChars="200"/>
        <w:jc w:val="both"/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（二）严格执行有关法律法规和标准，结合近年来监管情况，严格落实风险分级分类监管制度，强化风险管理，突出工作重点，完善主体信息，严格评定风险等级，实现动态风险因素评定与日常检查相衔接。</w:t>
      </w: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>特种设备检验检测机构核准</w:t>
      </w:r>
    </w:p>
    <w:p>
      <w:pPr>
        <w:jc w:val="both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  <w:t xml:space="preserve">    </w:t>
      </w:r>
    </w:p>
    <w:p>
      <w:pPr>
        <w:ind w:firstLine="606" w:firstLineChars="200"/>
        <w:jc w:val="both"/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一、主管科室</w:t>
      </w:r>
    </w:p>
    <w:p>
      <w:pPr>
        <w:ind w:firstLine="606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eastAsia="zh-CN"/>
        </w:rPr>
        <w:t>特种机电设备科、特种承压设备科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二、法律依据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cs="仿宋_GB2312"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  <w:t xml:space="preserve">    《中华人民共和国特种设备安全法》《特种设备安全监察条例》</w:t>
      </w:r>
    </w:p>
    <w:p>
      <w:pPr>
        <w:numPr>
          <w:ilvl w:val="0"/>
          <w:numId w:val="0"/>
        </w:numPr>
        <w:ind w:firstLine="604"/>
        <w:jc w:val="both"/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三、监管措施</w:t>
      </w:r>
    </w:p>
    <w:p>
      <w:pPr>
        <w:numPr>
          <w:ilvl w:val="0"/>
          <w:numId w:val="0"/>
        </w:numPr>
        <w:ind w:left="642" w:leftChars="200" w:hanging="36" w:hangingChars="12"/>
        <w:jc w:val="both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  <w:t>（一）每年对中山市辖区内特种设备检验检测机构实施全覆盖证后监管，发现违法违规行为的要依法查处。</w:t>
      </w:r>
    </w:p>
    <w:p>
      <w:pPr>
        <w:numPr>
          <w:ilvl w:val="0"/>
          <w:numId w:val="0"/>
        </w:numPr>
        <w:ind w:firstLine="604"/>
        <w:jc w:val="both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>（二）对有投诉举报和检验质量问题的企业实施重点监管。</w:t>
      </w: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>特种设备生产单位许可</w:t>
      </w:r>
    </w:p>
    <w:p>
      <w:pPr>
        <w:ind w:firstLine="606" w:firstLineChars="200"/>
        <w:jc w:val="both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</w:p>
    <w:p>
      <w:pPr>
        <w:ind w:firstLine="606" w:firstLineChars="200"/>
        <w:jc w:val="both"/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一、主管科室</w:t>
      </w:r>
    </w:p>
    <w:p>
      <w:pPr>
        <w:ind w:firstLine="606" w:firstLineChars="200"/>
        <w:jc w:val="both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eastAsia="zh-CN"/>
        </w:rPr>
        <w:t>特种机电设备科、特种承压设备科</w:t>
      </w:r>
    </w:p>
    <w:p>
      <w:pPr>
        <w:ind w:firstLine="606" w:firstLineChars="200"/>
        <w:jc w:val="both"/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二、法律依据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cs="仿宋_GB2312"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  <w:t xml:space="preserve">    《中华人民共和国特种设备安全法》《特种设备安全监察条例》</w:t>
      </w:r>
    </w:p>
    <w:p>
      <w:pPr>
        <w:numPr>
          <w:ilvl w:val="0"/>
          <w:numId w:val="0"/>
        </w:numPr>
        <w:ind w:firstLine="604"/>
        <w:jc w:val="both"/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三、监管措施</w:t>
      </w:r>
    </w:p>
    <w:p>
      <w:pPr>
        <w:ind w:firstLine="604"/>
        <w:jc w:val="both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  <w:t>（一）开展“双随机、一公开”监管，发现违法违规行为的要依法查处并公开结果。</w:t>
      </w:r>
    </w:p>
    <w:p>
      <w:pPr>
        <w:numPr>
          <w:ilvl w:val="0"/>
          <w:numId w:val="0"/>
        </w:numPr>
        <w:ind w:firstLine="604"/>
        <w:jc w:val="both"/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  <w:t>（二）对有投诉举报和生产质量问题的企业实施重点监管。</w:t>
      </w:r>
    </w:p>
    <w:p>
      <w:pPr>
        <w:jc w:val="both"/>
        <w:rPr>
          <w:rFonts w:hint="eastAsia" w:ascii="仿宋_GB2312" w:hAnsi="仿宋_GB2312" w:eastAsia="仿宋" w:cs="仿宋_GB2312"/>
          <w:bCs/>
          <w:color w:val="auto"/>
          <w:kern w:val="2"/>
          <w:sz w:val="32"/>
          <w:szCs w:val="32"/>
          <w:lang w:val="en-US" w:eastAsia="zh-CN" w:bidi="ar-SA"/>
        </w:rPr>
      </w:pPr>
    </w:p>
    <w:p/>
    <w:p/>
    <w:sectPr>
      <w:footerReference r:id="rId3" w:type="default"/>
      <w:pgSz w:w="11906" w:h="16838"/>
      <w:pgMar w:top="1440" w:right="1417" w:bottom="1440" w:left="1417" w:header="851" w:footer="992" w:gutter="0"/>
      <w:pgNumType w:fmt="numberInDash" w:start="1"/>
      <w:cols w:space="720" w:num="1"/>
      <w:rtlGutter w:val="0"/>
      <w:docGrid w:type="linesAndChars" w:linePitch="581" w:charSpace="-36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B693B"/>
    <w:rsid w:val="52EB693B"/>
    <w:rsid w:val="538F3421"/>
    <w:rsid w:val="639C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2020-05-09T06:16:00Z</dcterms:created>
  <dc:creator>於晓燕</dc:creator>
  <cp:lastModifiedBy>张春艳</cp:lastModifiedBy>
  <cp:lastPrinted>2020-05-09T06:54:00Z</cp:lastPrinted>
  <dcterms:modified xsi:type="dcterms:W3CDTF">2024-07-30T07:21:26Z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8C155C6A9FCB40879BF4412B846516AC</vt:lpwstr>
  </property>
</Properties>
</file>