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00" w:lineRule="atLeas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sz w:val="32"/>
          <w:szCs w:val="32"/>
        </w:rPr>
        <w:t xml:space="preserve">2                          </w:t>
      </w:r>
    </w:p>
    <w:p>
      <w:pPr>
        <w:shd w:val="clear" w:color="auto" w:fill="FFFFFF"/>
        <w:snapToGrid w:val="0"/>
        <w:spacing w:line="500" w:lineRule="atLeast"/>
        <w:ind w:firstLine="3960" w:firstLineChars="900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中山市社工项目财务评审指标</w:t>
      </w:r>
    </w:p>
    <w:p>
      <w:pPr>
        <w:shd w:val="clear" w:color="auto" w:fill="FFFFFF"/>
        <w:snapToGrid w:val="0"/>
        <w:spacing w:line="500" w:lineRule="atLeast"/>
        <w:ind w:firstLine="3080" w:firstLineChars="700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黑体" w:hAnsi="黑体" w:eastAsia="黑体" w:cs="宋体"/>
          <w:sz w:val="44"/>
          <w:szCs w:val="44"/>
        </w:rPr>
        <w:t xml:space="preserve">      </w:t>
      </w:r>
      <w:r>
        <w:rPr>
          <w:rFonts w:hint="eastAsia" w:ascii="黑体" w:hAnsi="黑体" w:eastAsia="黑体" w:cs="宋体"/>
          <w:sz w:val="32"/>
          <w:szCs w:val="32"/>
        </w:rPr>
        <w:t xml:space="preserve">      </w:t>
      </w:r>
      <w:r>
        <w:rPr>
          <w:rFonts w:hint="eastAsia" w:ascii="仿宋" w:hAnsi="仿宋" w:eastAsia="仿宋" w:cs="宋体"/>
          <w:b/>
          <w:sz w:val="32"/>
          <w:szCs w:val="32"/>
        </w:rPr>
        <w:t xml:space="preserve">   （参考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模板</w:t>
      </w:r>
      <w:r>
        <w:rPr>
          <w:rFonts w:hint="eastAsia" w:ascii="仿宋" w:hAnsi="仿宋" w:eastAsia="仿宋" w:cs="宋体"/>
          <w:b/>
          <w:sz w:val="32"/>
          <w:szCs w:val="32"/>
        </w:rPr>
        <w:t>）</w:t>
      </w:r>
    </w:p>
    <w:p>
      <w:pPr>
        <w:rPr>
          <w:rFonts w:hint="eastAsia"/>
        </w:rPr>
      </w:pPr>
    </w:p>
    <w:tbl>
      <w:tblPr>
        <w:tblStyle w:val="4"/>
        <w:tblW w:w="13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6794"/>
        <w:gridCol w:w="1641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指标</w:t>
            </w:r>
          </w:p>
        </w:tc>
        <w:tc>
          <w:tcPr>
            <w:tcW w:w="6794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具体内容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分值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财务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体系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（20分）</w:t>
            </w:r>
          </w:p>
        </w:tc>
        <w:tc>
          <w:tcPr>
            <w:tcW w:w="6794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建立财务机构并配齐会计人员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有专职人员负责项目资金监管、报账及单据整理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有反映机构财务信息和有关财务状况的报告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有做好财务资料归档工作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制度建设（10分）</w:t>
            </w:r>
          </w:p>
        </w:tc>
        <w:tc>
          <w:tcPr>
            <w:tcW w:w="6794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建立内部财务管理等制度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财务核算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（15分）</w:t>
            </w:r>
          </w:p>
        </w:tc>
        <w:tc>
          <w:tcPr>
            <w:tcW w:w="6794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有按非盈利组织会计制度进行核算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有按非盈利组织会计制度编制财务报表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没有向出资者分配或变相分配的情况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制度执行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（20分）</w:t>
            </w:r>
          </w:p>
        </w:tc>
        <w:tc>
          <w:tcPr>
            <w:tcW w:w="6794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没有出现付款无审批情况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没有未及时进行账务处理的情况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有对分项目进行明细核算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有对凭证进行整齐装订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项目管理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分）</w:t>
            </w:r>
          </w:p>
        </w:tc>
        <w:tc>
          <w:tcPr>
            <w:tcW w:w="6794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项目合同有效管理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，合同要约部分符合有关文件精神及资金比例要求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（包括人员经费不低于项目经费的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75%、项目管理费不高于15%、服务及活动费不高于7%等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项目资金没有出现用于非项目情况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2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项目经费使用情况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分）</w:t>
            </w:r>
          </w:p>
        </w:tc>
        <w:tc>
          <w:tcPr>
            <w:tcW w:w="6794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各项经费的执行严格按照预算及财务有关要求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9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行政管理费能准确归集核算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4"/>
    <w:rsid w:val="005F3FB1"/>
    <w:rsid w:val="00A96DC1"/>
    <w:rsid w:val="00AF7159"/>
    <w:rsid w:val="00DF4249"/>
    <w:rsid w:val="00E95B24"/>
    <w:rsid w:val="0B18125D"/>
    <w:rsid w:val="1AD82599"/>
    <w:rsid w:val="30212F86"/>
    <w:rsid w:val="65EB5D07"/>
    <w:rsid w:val="6D1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</Words>
  <Characters>461</Characters>
  <Lines>3</Lines>
  <Paragraphs>1</Paragraphs>
  <TotalTime>79</TotalTime>
  <ScaleCrop>false</ScaleCrop>
  <LinksUpToDate>false</LinksUpToDate>
  <CharactersWithSpaces>540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2017-09-13T06:36:00Z</dcterms:created>
  <dc:creator>Administrator</dc:creator>
  <cp:lastModifiedBy>Administrator</cp:lastModifiedBy>
  <cp:lastPrinted>2020-08-21T06:37:00Z</cp:lastPrinted>
  <dcterms:modified xsi:type="dcterms:W3CDTF">2021-01-06T03:24:29Z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