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outlineLvl w:val="9"/>
        <w:rPr>
          <w:rFonts w:hint="eastAsia" w:ascii="Times New Roman" w:hAnsi="Times New Roman" w:eastAsia="方正小标宋简体" w:cs="Times New Roman"/>
          <w:color w:val="auto"/>
          <w:spacing w:val="-6"/>
          <w:sz w:val="44"/>
          <w:szCs w:val="44"/>
          <w:highlight w:val="none"/>
          <w:u w:val="none"/>
          <w:lang w:val="en-US" w:eastAsia="zh-CN"/>
        </w:rPr>
      </w:pPr>
      <w:r>
        <w:rPr>
          <w:rFonts w:hint="eastAsia" w:ascii="Times New Roman" w:hAnsi="Times New Roman" w:eastAsia="方正小标宋简体" w:cs="Times New Roman"/>
          <w:color w:val="auto"/>
          <w:spacing w:val="-6"/>
          <w:sz w:val="44"/>
          <w:szCs w:val="44"/>
          <w:highlight w:val="none"/>
          <w:u w:val="none"/>
          <w:lang w:val="en-US" w:eastAsia="zh-CN"/>
        </w:rPr>
        <w:t>南头镇广东长虹电子有限公司340亩“工改工”宗地项目“三旧”改造方案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根据现行控制性详细规划，南头镇人民政府拟对位于中山市南头镇兴业北路广东长虹电子有限公司的低效工业用地进行改造，由产权人广东长虹电子有限公司进行自主改造，采取局部改造的改造方式。改造方案如下:</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一、地块基本情况</w:t>
      </w:r>
    </w:p>
    <w:p>
      <w:pPr>
        <w:ind w:firstLine="616" w:firstLineChars="200"/>
        <w:rPr>
          <w:rFonts w:hint="eastAsia" w:ascii="仿宋" w:hAnsi="仿宋" w:eastAsia="仿宋" w:cs="仿宋"/>
          <w:sz w:val="28"/>
          <w:szCs w:val="28"/>
        </w:rPr>
      </w:pPr>
      <w:r>
        <w:rPr>
          <w:rFonts w:hint="eastAsia" w:ascii="仿宋_GB2312" w:hAnsi="仿宋_GB2312" w:eastAsia="仿宋_GB2312" w:cs="仿宋_GB2312"/>
          <w:color w:val="auto"/>
          <w:spacing w:val="-6"/>
          <w:kern w:val="0"/>
          <w:sz w:val="32"/>
          <w:szCs w:val="32"/>
          <w:highlight w:val="none"/>
          <w:u w:val="none"/>
          <w:lang w:eastAsia="zh-CN"/>
        </w:rPr>
        <w:t>（一）总体情况</w:t>
      </w:r>
    </w:p>
    <w:p>
      <w:pPr>
        <w:ind w:firstLine="616" w:firstLineChars="200"/>
        <w:rPr>
          <w:rFonts w:hint="eastAsia" w:ascii="仿宋" w:hAnsi="仿宋" w:eastAsia="仿宋" w:cs="仿宋"/>
          <w:sz w:val="28"/>
          <w:szCs w:val="28"/>
          <w:lang w:eastAsia="zh-CN"/>
        </w:rPr>
      </w:pPr>
      <w:r>
        <w:rPr>
          <w:rFonts w:hint="eastAsia" w:ascii="仿宋_GB2312" w:hAnsi="仿宋_GB2312" w:eastAsia="仿宋_GB2312" w:cs="仿宋_GB2312"/>
          <w:color w:val="auto"/>
          <w:spacing w:val="-6"/>
          <w:kern w:val="0"/>
          <w:sz w:val="32"/>
          <w:szCs w:val="32"/>
          <w:highlight w:val="none"/>
          <w:u w:val="none"/>
          <w:lang w:eastAsia="zh-CN"/>
        </w:rPr>
        <w:t>项目地块位于南头镇</w:t>
      </w:r>
      <w:r>
        <w:rPr>
          <w:rFonts w:hint="eastAsia" w:ascii="仿宋_GB2312" w:hAnsi="仿宋_GB2312" w:eastAsia="仿宋_GB2312" w:cs="仿宋_GB2312"/>
          <w:color w:val="auto"/>
          <w:spacing w:val="-6"/>
          <w:kern w:val="0"/>
          <w:sz w:val="32"/>
          <w:szCs w:val="32"/>
          <w:highlight w:val="none"/>
          <w:u w:val="none"/>
          <w:lang w:val="en-US" w:eastAsia="zh-CN"/>
        </w:rPr>
        <w:t>兴业北</w:t>
      </w:r>
      <w:r>
        <w:rPr>
          <w:rFonts w:hint="eastAsia" w:ascii="仿宋_GB2312" w:hAnsi="仿宋_GB2312" w:eastAsia="仿宋_GB2312" w:cs="仿宋_GB2312"/>
          <w:color w:val="auto"/>
          <w:spacing w:val="-6"/>
          <w:kern w:val="0"/>
          <w:sz w:val="32"/>
          <w:szCs w:val="32"/>
          <w:highlight w:val="none"/>
          <w:u w:val="none"/>
          <w:lang w:eastAsia="zh-CN"/>
        </w:rPr>
        <w:t>路，</w:t>
      </w:r>
      <w:r>
        <w:rPr>
          <w:rFonts w:hint="eastAsia" w:ascii="仿宋_GB2312" w:hAnsi="仿宋_GB2312" w:eastAsia="仿宋_GB2312" w:cs="仿宋_GB2312"/>
          <w:color w:val="auto"/>
          <w:spacing w:val="-6"/>
          <w:kern w:val="0"/>
          <w:sz w:val="32"/>
          <w:szCs w:val="32"/>
          <w:highlight w:val="none"/>
          <w:u w:val="none"/>
          <w:lang w:val="en-US" w:eastAsia="zh-CN"/>
        </w:rPr>
        <w:t>总</w:t>
      </w:r>
      <w:r>
        <w:rPr>
          <w:rFonts w:hint="eastAsia" w:ascii="仿宋_GB2312" w:hAnsi="仿宋_GB2312" w:eastAsia="仿宋_GB2312" w:cs="仿宋_GB2312"/>
          <w:color w:val="auto"/>
          <w:spacing w:val="-6"/>
          <w:kern w:val="0"/>
          <w:sz w:val="32"/>
          <w:szCs w:val="32"/>
          <w:highlight w:val="none"/>
          <w:u w:val="none"/>
          <w:lang w:eastAsia="zh-CN"/>
        </w:rPr>
        <w:t>用地面积</w:t>
      </w:r>
      <w:r>
        <w:rPr>
          <w:rFonts w:hint="default" w:ascii="仿宋_GB2312" w:hAnsi="仿宋_GB2312" w:eastAsia="仿宋_GB2312" w:cs="仿宋_GB2312"/>
          <w:color w:val="auto"/>
          <w:spacing w:val="-6"/>
          <w:kern w:val="0"/>
          <w:sz w:val="32"/>
          <w:szCs w:val="32"/>
          <w:highlight w:val="none"/>
          <w:u w:val="none"/>
          <w:lang w:val="en-US" w:eastAsia="zh-CN"/>
        </w:rPr>
        <w:t>22.6952</w:t>
      </w:r>
      <w:r>
        <w:rPr>
          <w:rFonts w:hint="eastAsia" w:ascii="仿宋_GB2312" w:hAnsi="仿宋_GB2312" w:eastAsia="仿宋_GB2312" w:cs="仿宋_GB2312"/>
          <w:color w:val="auto"/>
          <w:spacing w:val="-6"/>
          <w:kern w:val="0"/>
          <w:sz w:val="32"/>
          <w:szCs w:val="32"/>
          <w:highlight w:val="none"/>
          <w:u w:val="none"/>
          <w:lang w:val="en-US" w:eastAsia="zh-CN"/>
        </w:rPr>
        <w:t>公顷（226951.7平方米，</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340.4</w:t>
      </w:r>
      <w:r>
        <w:rPr>
          <w:rFonts w:hint="default"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），其中局部改造面积约为10.8186公顷（108186.35平方米，折合约162.28亩）</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（二）标图入库情况</w:t>
      </w:r>
    </w:p>
    <w:p>
      <w:pPr>
        <w:ind w:firstLine="616" w:firstLineChars="200"/>
        <w:rPr>
          <w:rFonts w:hint="eastAsia" w:ascii="仿宋" w:hAnsi="仿宋" w:eastAsia="仿宋" w:cs="仿宋"/>
          <w:sz w:val="28"/>
          <w:szCs w:val="28"/>
          <w:lang w:val="en-US" w:eastAsia="zh-CN"/>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于202</w:t>
      </w:r>
      <w:r>
        <w:rPr>
          <w:rFonts w:hint="default" w:ascii="Times New Roman" w:hAnsi="Times New Roman" w:eastAsia="仿宋_GB2312" w:cs="Times New Roman"/>
          <w:spacing w:val="-6"/>
          <w:kern w:val="0"/>
          <w:sz w:val="32"/>
          <w:szCs w:val="32"/>
          <w:highlight w:val="none"/>
          <w:lang w:val="en-US"/>
        </w:rPr>
        <w:t>4</w:t>
      </w:r>
      <w:r>
        <w:rPr>
          <w:rFonts w:hint="default" w:ascii="Times New Roman" w:hAnsi="Times New Roman" w:eastAsia="仿宋_GB2312" w:cs="Times New Roman"/>
          <w:spacing w:val="-6"/>
          <w:kern w:val="0"/>
          <w:sz w:val="32"/>
          <w:szCs w:val="32"/>
          <w:highlight w:val="none"/>
        </w:rPr>
        <w:t>年</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kern w:val="0"/>
          <w:sz w:val="32"/>
          <w:szCs w:val="32"/>
          <w:highlight w:val="none"/>
        </w:rPr>
        <w:t>月</w:t>
      </w:r>
      <w:r>
        <w:rPr>
          <w:rFonts w:hint="eastAsia" w:ascii="Times New Roman" w:hAnsi="Times New Roman" w:eastAsia="仿宋_GB2312" w:cs="Times New Roman"/>
          <w:spacing w:val="-6"/>
          <w:kern w:val="0"/>
          <w:sz w:val="32"/>
          <w:szCs w:val="32"/>
          <w:highlight w:val="none"/>
          <w:lang w:eastAsia="zh-CN"/>
        </w:rPr>
        <w:t>办理</w:t>
      </w:r>
      <w:r>
        <w:rPr>
          <w:rFonts w:hint="default" w:ascii="Times New Roman" w:hAnsi="Times New Roman" w:eastAsia="仿宋_GB2312" w:cs="Times New Roman"/>
          <w:spacing w:val="-6"/>
          <w:kern w:val="0"/>
          <w:sz w:val="32"/>
          <w:szCs w:val="32"/>
          <w:highlight w:val="none"/>
        </w:rPr>
        <w:t>“三旧”标图入库，</w:t>
      </w:r>
      <w:r>
        <w:rPr>
          <w:rFonts w:hint="default" w:ascii="Times New Roman" w:hAnsi="Times New Roman" w:eastAsia="仿宋_GB2312" w:cs="Times New Roman"/>
          <w:spacing w:val="-6"/>
          <w:sz w:val="32"/>
          <w:szCs w:val="32"/>
          <w:highlight w:val="none"/>
        </w:rPr>
        <w:t>图斑编号</w:t>
      </w:r>
      <w:r>
        <w:rPr>
          <w:rFonts w:hint="default" w:ascii="Times New Roman" w:hAnsi="Times New Roman" w:eastAsia="仿宋_GB2312" w:cs="Times New Roman"/>
          <w:spacing w:val="-6"/>
          <w:kern w:val="0"/>
          <w:sz w:val="32"/>
          <w:szCs w:val="32"/>
          <w:highlight w:val="none"/>
          <w:u w:val="none"/>
          <w:lang w:val="en-US" w:eastAsia="zh-CN"/>
        </w:rPr>
        <w:t>4420006812</w:t>
      </w:r>
      <w:r>
        <w:rPr>
          <w:rFonts w:hint="eastAsia" w:ascii="Times New Roman" w:hAnsi="Times New Roman" w:eastAsia="仿宋_GB2312" w:cs="Times New Roman"/>
          <w:spacing w:val="-6"/>
          <w:kern w:val="0"/>
          <w:sz w:val="32"/>
          <w:szCs w:val="32"/>
          <w:highlight w:val="none"/>
          <w:u w:val="none"/>
          <w:lang w:val="en-US" w:eastAsia="zh-CN"/>
        </w:rPr>
        <w:t>8</w:t>
      </w:r>
      <w:r>
        <w:rPr>
          <w:rFonts w:hint="default" w:ascii="Times New Roman" w:hAnsi="Times New Roman" w:eastAsia="仿宋_GB2312" w:cs="Times New Roman"/>
          <w:spacing w:val="-6"/>
          <w:sz w:val="32"/>
          <w:szCs w:val="32"/>
          <w:highlight w:val="none"/>
        </w:rPr>
        <w:t>，图斑面积</w:t>
      </w:r>
      <w:r>
        <w:rPr>
          <w:rFonts w:hint="eastAsia" w:ascii="Times New Roman" w:hAnsi="Times New Roman" w:eastAsia="仿宋_GB2312" w:cs="Times New Roman"/>
          <w:spacing w:val="-6"/>
          <w:sz w:val="32"/>
          <w:szCs w:val="32"/>
          <w:highlight w:val="none"/>
          <w:lang w:eastAsia="zh-CN"/>
        </w:rPr>
        <w:t>为</w:t>
      </w:r>
      <w:r>
        <w:rPr>
          <w:rFonts w:hint="default" w:ascii="仿宋_GB2312" w:hAnsi="仿宋_GB2312" w:eastAsia="仿宋_GB2312" w:cs="仿宋_GB2312"/>
          <w:color w:val="auto"/>
          <w:spacing w:val="-6"/>
          <w:kern w:val="0"/>
          <w:sz w:val="32"/>
          <w:szCs w:val="32"/>
          <w:highlight w:val="none"/>
          <w:u w:val="none"/>
          <w:lang w:val="en-US" w:eastAsia="zh-CN"/>
        </w:rPr>
        <w:t>22.6952</w:t>
      </w:r>
      <w:r>
        <w:rPr>
          <w:rFonts w:hint="eastAsia" w:ascii="仿宋_GB2312" w:hAnsi="仿宋_GB2312" w:eastAsia="仿宋_GB2312" w:cs="仿宋_GB2312"/>
          <w:color w:val="auto"/>
          <w:spacing w:val="-6"/>
          <w:kern w:val="0"/>
          <w:sz w:val="32"/>
          <w:szCs w:val="32"/>
          <w:highlight w:val="none"/>
          <w:u w:val="none"/>
          <w:lang w:val="en-US" w:eastAsia="zh-CN"/>
        </w:rPr>
        <w:t>公顷（226951.7平方米，</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340.4</w:t>
      </w:r>
      <w:r>
        <w:rPr>
          <w:rFonts w:hint="default"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（三）权属情况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改造地块属国有建设用地，土地用途为工业，改造涉及的土地已经确权、登记，土地证号为中府国用（20</w:t>
      </w:r>
      <w:r>
        <w:rPr>
          <w:rFonts w:hint="eastAsia" w:ascii="仿宋_GB2312" w:hAnsi="仿宋_GB2312" w:eastAsia="仿宋_GB2312" w:cs="仿宋_GB2312"/>
          <w:color w:val="auto"/>
          <w:spacing w:val="-6"/>
          <w:kern w:val="0"/>
          <w:sz w:val="32"/>
          <w:szCs w:val="32"/>
          <w:highlight w:val="none"/>
          <w:u w:val="none"/>
          <w:lang w:val="en-US" w:eastAsia="zh-CN"/>
        </w:rPr>
        <w:t>11</w:t>
      </w:r>
      <w:r>
        <w:rPr>
          <w:rFonts w:hint="eastAsia" w:ascii="仿宋_GB2312" w:hAnsi="仿宋_GB2312" w:eastAsia="仿宋_GB2312" w:cs="仿宋_GB2312"/>
          <w:color w:val="auto"/>
          <w:spacing w:val="-6"/>
          <w:kern w:val="0"/>
          <w:sz w:val="32"/>
          <w:szCs w:val="32"/>
          <w:highlight w:val="none"/>
          <w:u w:val="none"/>
          <w:lang w:eastAsia="zh-CN"/>
        </w:rPr>
        <w:t>）第0200896号（</w:t>
      </w:r>
      <w:r>
        <w:rPr>
          <w:rFonts w:hint="eastAsia" w:ascii="仿宋_GB2312" w:hAnsi="仿宋_GB2312" w:eastAsia="仿宋_GB2312" w:cs="仿宋_GB2312"/>
          <w:color w:val="auto"/>
          <w:spacing w:val="-6"/>
          <w:kern w:val="0"/>
          <w:sz w:val="32"/>
          <w:szCs w:val="32"/>
          <w:highlight w:val="none"/>
          <w:u w:val="none"/>
          <w:lang w:val="en-US" w:eastAsia="zh-CN"/>
        </w:rPr>
        <w:t>用地面积226951.7平方米，</w:t>
      </w:r>
      <w:r>
        <w:rPr>
          <w:rFonts w:hint="eastAsia" w:ascii="仿宋_GB2312" w:hAnsi="仿宋_GB2312" w:eastAsia="仿宋_GB2312" w:cs="仿宋_GB2312"/>
          <w:color w:val="auto"/>
          <w:spacing w:val="-6"/>
          <w:kern w:val="0"/>
          <w:sz w:val="32"/>
          <w:szCs w:val="32"/>
          <w:highlight w:val="none"/>
          <w:u w:val="none"/>
          <w:lang w:eastAsia="zh-CN"/>
        </w:rPr>
        <w:t>为土地产权人广东长虹电子有限公司自200</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年12月开始使用。</w:t>
      </w:r>
    </w:p>
    <w:p>
      <w:pPr>
        <w:ind w:firstLine="616" w:firstLineChars="200"/>
        <w:rPr>
          <w:rFonts w:hint="eastAsia" w:ascii="仿宋" w:hAnsi="仿宋" w:eastAsia="仿宋" w:cs="仿宋"/>
          <w:color w:val="auto"/>
          <w:sz w:val="28"/>
          <w:szCs w:val="28"/>
        </w:rPr>
      </w:pPr>
      <w:r>
        <w:rPr>
          <w:rFonts w:hint="eastAsia" w:ascii="仿宋_GB2312" w:hAnsi="仿宋_GB2312" w:eastAsia="仿宋_GB2312" w:cs="仿宋_GB2312"/>
          <w:color w:val="auto"/>
          <w:spacing w:val="-6"/>
          <w:kern w:val="0"/>
          <w:sz w:val="32"/>
          <w:szCs w:val="32"/>
          <w:highlight w:val="none"/>
          <w:u w:val="none"/>
          <w:lang w:eastAsia="zh-CN"/>
        </w:rPr>
        <w:t>（四）土地利用现状情况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项目范围内现有</w:t>
      </w:r>
      <w:r>
        <w:rPr>
          <w:rFonts w:hint="eastAsia" w:ascii="仿宋_GB2312" w:hAnsi="仿宋_GB2312" w:eastAsia="仿宋_GB2312" w:cs="仿宋_GB2312"/>
          <w:color w:val="auto"/>
          <w:spacing w:val="-6"/>
          <w:kern w:val="0"/>
          <w:sz w:val="32"/>
          <w:szCs w:val="32"/>
          <w:highlight w:val="none"/>
          <w:u w:val="none"/>
          <w:lang w:val="en-US" w:eastAsia="zh-CN"/>
        </w:rPr>
        <w:t>19</w:t>
      </w:r>
      <w:r>
        <w:rPr>
          <w:rFonts w:hint="eastAsia" w:ascii="仿宋_GB2312" w:hAnsi="仿宋_GB2312" w:eastAsia="仿宋_GB2312" w:cs="仿宋_GB2312"/>
          <w:color w:val="auto"/>
          <w:spacing w:val="-6"/>
          <w:kern w:val="0"/>
          <w:sz w:val="32"/>
          <w:szCs w:val="32"/>
          <w:highlight w:val="none"/>
          <w:u w:val="none"/>
          <w:lang w:eastAsia="zh-CN"/>
        </w:rPr>
        <w:t>栋建筑物</w:t>
      </w:r>
      <w:r>
        <w:rPr>
          <w:rFonts w:hint="eastAsia" w:ascii="仿宋_GB2312" w:hAnsi="仿宋_GB2312" w:eastAsia="仿宋_GB2312" w:cs="仿宋_GB2312"/>
          <w:color w:val="auto"/>
          <w:spacing w:val="-6"/>
          <w:kern w:val="0"/>
          <w:sz w:val="32"/>
          <w:szCs w:val="32"/>
          <w:highlight w:val="none"/>
          <w:u w:val="none"/>
          <w:lang w:val="en-US" w:eastAsia="zh-CN"/>
        </w:rPr>
        <w:t>，均</w:t>
      </w:r>
      <w:r>
        <w:rPr>
          <w:rFonts w:hint="eastAsia" w:ascii="仿宋_GB2312" w:hAnsi="仿宋_GB2312" w:eastAsia="仿宋_GB2312" w:cs="仿宋_GB2312"/>
          <w:color w:val="auto"/>
          <w:spacing w:val="-6"/>
          <w:kern w:val="0"/>
          <w:sz w:val="32"/>
          <w:szCs w:val="32"/>
          <w:highlight w:val="none"/>
          <w:u w:val="none"/>
          <w:lang w:eastAsia="zh-CN"/>
        </w:rPr>
        <w:t>为广东长虹电子有限公司自200</w:t>
      </w: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lang w:eastAsia="zh-CN"/>
        </w:rPr>
        <w:t>年12月开始使用。</w:t>
      </w:r>
      <w:r>
        <w:rPr>
          <w:rFonts w:hint="eastAsia" w:ascii="仿宋_GB2312" w:hAnsi="仿宋_GB2312" w:eastAsia="仿宋_GB2312" w:cs="仿宋_GB2312"/>
          <w:color w:val="auto"/>
          <w:spacing w:val="-6"/>
          <w:kern w:val="0"/>
          <w:sz w:val="32"/>
          <w:szCs w:val="32"/>
          <w:highlight w:val="none"/>
          <w:u w:val="none"/>
          <w:lang w:val="en-US" w:eastAsia="zh-CN"/>
        </w:rPr>
        <w:t>因历史原因，未</w:t>
      </w:r>
      <w:r>
        <w:rPr>
          <w:rFonts w:hint="eastAsia" w:ascii="仿宋_GB2312" w:hAnsi="仿宋_GB2312" w:eastAsia="仿宋_GB2312" w:cs="仿宋_GB2312"/>
          <w:color w:val="auto"/>
          <w:spacing w:val="-6"/>
          <w:kern w:val="0"/>
          <w:sz w:val="32"/>
          <w:szCs w:val="32"/>
          <w:highlight w:val="none"/>
          <w:u w:val="none"/>
          <w:lang w:eastAsia="zh-CN"/>
        </w:rPr>
        <w:t>办理规划报建等手续，现有建筑面积125167.88平方米（</w:t>
      </w:r>
      <w:r>
        <w:rPr>
          <w:rFonts w:hint="eastAsia" w:ascii="仿宋_GB2312" w:hAnsi="仿宋_GB2312" w:eastAsia="仿宋_GB2312" w:cs="仿宋_GB2312"/>
          <w:color w:val="auto"/>
          <w:spacing w:val="-6"/>
          <w:kern w:val="0"/>
          <w:sz w:val="32"/>
          <w:szCs w:val="32"/>
          <w:highlight w:val="none"/>
          <w:u w:val="none"/>
          <w:lang w:val="en-US" w:eastAsia="zh-CN"/>
        </w:rPr>
        <w:t>计容面积162449.72</w:t>
      </w:r>
      <w:r>
        <w:rPr>
          <w:rFonts w:hint="eastAsia" w:ascii="仿宋_GB2312" w:hAnsi="仿宋_GB2312" w:eastAsia="仿宋_GB2312" w:cs="仿宋_GB2312"/>
          <w:color w:val="auto"/>
          <w:spacing w:val="-6"/>
          <w:kern w:val="0"/>
          <w:sz w:val="32"/>
          <w:szCs w:val="32"/>
          <w:highlight w:val="none"/>
          <w:u w:val="none"/>
          <w:lang w:eastAsia="zh-CN"/>
        </w:rPr>
        <w:t>），现状容积率0.</w:t>
      </w:r>
      <w:r>
        <w:rPr>
          <w:rFonts w:hint="eastAsia" w:ascii="仿宋_GB2312" w:hAnsi="仿宋_GB2312" w:eastAsia="仿宋_GB2312" w:cs="仿宋_GB2312"/>
          <w:color w:val="auto"/>
          <w:spacing w:val="-6"/>
          <w:kern w:val="0"/>
          <w:sz w:val="32"/>
          <w:szCs w:val="32"/>
          <w:highlight w:val="none"/>
          <w:u w:val="none"/>
          <w:lang w:val="en-US" w:eastAsia="zh-CN"/>
        </w:rPr>
        <w:t>72</w:t>
      </w:r>
      <w:r>
        <w:rPr>
          <w:rFonts w:hint="eastAsia" w:ascii="仿宋_GB2312" w:hAnsi="仿宋_GB2312" w:eastAsia="仿宋_GB2312" w:cs="仿宋_GB2312"/>
          <w:color w:val="auto"/>
          <w:spacing w:val="-6"/>
          <w:kern w:val="0"/>
          <w:sz w:val="32"/>
          <w:szCs w:val="32"/>
          <w:highlight w:val="none"/>
          <w:u w:val="none"/>
          <w:lang w:eastAsia="zh-CN"/>
        </w:rPr>
        <w:t>，作工业用途。其中，改造范围内涉及</w:t>
      </w:r>
      <w:r>
        <w:rPr>
          <w:rFonts w:hint="eastAsia" w:ascii="仿宋_GB2312" w:hAnsi="仿宋_GB2312" w:eastAsia="仿宋_GB2312" w:cs="仿宋_GB2312"/>
          <w:color w:val="auto"/>
          <w:spacing w:val="-6"/>
          <w:kern w:val="0"/>
          <w:sz w:val="32"/>
          <w:szCs w:val="32"/>
          <w:highlight w:val="none"/>
          <w:u w:val="none"/>
          <w:lang w:val="en-US" w:eastAsia="zh-CN"/>
        </w:rPr>
        <w:t>6栋</w:t>
      </w:r>
      <w:r>
        <w:rPr>
          <w:rFonts w:hint="eastAsia" w:ascii="仿宋_GB2312" w:hAnsi="仿宋_GB2312" w:eastAsia="仿宋_GB2312" w:cs="仿宋_GB2312"/>
          <w:color w:val="auto"/>
          <w:spacing w:val="-6"/>
          <w:kern w:val="0"/>
          <w:sz w:val="32"/>
          <w:szCs w:val="32"/>
          <w:highlight w:val="none"/>
          <w:u w:val="none"/>
          <w:lang w:eastAsia="zh-CN"/>
        </w:rPr>
        <w:t>建筑物，分别为</w:t>
      </w:r>
      <w:r>
        <w:rPr>
          <w:rFonts w:hint="eastAsia" w:ascii="仿宋_GB2312" w:hAnsi="仿宋_GB2312" w:eastAsia="仿宋_GB2312" w:cs="仿宋_GB2312"/>
          <w:color w:val="auto"/>
          <w:spacing w:val="-6"/>
          <w:kern w:val="0"/>
          <w:sz w:val="32"/>
          <w:szCs w:val="32"/>
          <w:highlight w:val="none"/>
          <w:u w:val="none"/>
          <w:lang w:val="en-US" w:eastAsia="zh-CN"/>
        </w:rPr>
        <w:t>1#、2#、6#、6A#、18#、19#（其中1#、18#、19#厂房已出具建筑物质量安全鉴定报告，符合相关质量安全要求）</w:t>
      </w:r>
      <w:r>
        <w:rPr>
          <w:rFonts w:hint="eastAsia" w:ascii="仿宋_GB2312" w:hAnsi="仿宋_GB2312" w:eastAsia="仿宋_GB2312" w:cs="仿宋_GB2312"/>
          <w:color w:val="auto"/>
          <w:spacing w:val="-6"/>
          <w:kern w:val="0"/>
          <w:sz w:val="32"/>
          <w:szCs w:val="32"/>
          <w:highlight w:val="none"/>
          <w:u w:val="none"/>
          <w:lang w:eastAsia="zh-CN"/>
        </w:rPr>
        <w:t>，涉及建筑面积约</w:t>
      </w:r>
      <w:r>
        <w:rPr>
          <w:rFonts w:hint="eastAsia" w:ascii="仿宋_GB2312" w:hAnsi="仿宋_GB2312" w:eastAsia="仿宋_GB2312" w:cs="仿宋_GB2312"/>
          <w:color w:val="auto"/>
          <w:spacing w:val="-6"/>
          <w:kern w:val="0"/>
          <w:sz w:val="32"/>
          <w:szCs w:val="32"/>
          <w:highlight w:val="none"/>
          <w:u w:val="none"/>
          <w:lang w:val="en-US" w:eastAsia="zh-CN"/>
        </w:rPr>
        <w:t>57517.93平方米，拟计划分期拆除。一期拆除2#、6#、6A#厂房，涉及建筑面积约27800.65平方米，二期拆除1#、18#、19#厂房。</w:t>
      </w:r>
      <w:r>
        <w:rPr>
          <w:rFonts w:hint="eastAsia" w:ascii="仿宋_GB2312" w:hAnsi="仿宋_GB2312" w:eastAsia="仿宋_GB2312" w:cs="仿宋_GB2312"/>
          <w:color w:val="auto"/>
          <w:spacing w:val="-6"/>
          <w:kern w:val="0"/>
          <w:sz w:val="32"/>
          <w:szCs w:val="32"/>
          <w:highlight w:val="none"/>
          <w:u w:val="none"/>
          <w:lang w:eastAsia="zh-CN"/>
        </w:rPr>
        <w:t>目前未拆除现状建筑物。改造前年产值约为</w:t>
      </w:r>
      <w:r>
        <w:rPr>
          <w:rFonts w:hint="eastAsia" w:ascii="仿宋_GB2312" w:hAnsi="仿宋_GB2312" w:eastAsia="仿宋_GB2312" w:cs="仿宋_GB2312"/>
          <w:color w:val="auto"/>
          <w:spacing w:val="-6"/>
          <w:kern w:val="0"/>
          <w:sz w:val="32"/>
          <w:szCs w:val="32"/>
          <w:highlight w:val="none"/>
          <w:u w:val="none"/>
          <w:lang w:val="en-US" w:eastAsia="zh-CN"/>
        </w:rPr>
        <w:t>55亿</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约1617.6</w:t>
      </w:r>
      <w:r>
        <w:rPr>
          <w:rFonts w:hint="eastAsia" w:ascii="仿宋_GB2312" w:hAnsi="仿宋_GB2312" w:eastAsia="仿宋_GB2312" w:cs="仿宋_GB2312"/>
          <w:color w:val="auto"/>
          <w:spacing w:val="-6"/>
          <w:kern w:val="0"/>
          <w:sz w:val="32"/>
          <w:szCs w:val="32"/>
          <w:highlight w:val="none"/>
          <w:u w:val="none"/>
          <w:lang w:eastAsia="zh-CN"/>
        </w:rPr>
        <w:t>万元/亩），年税收约为</w:t>
      </w:r>
      <w:r>
        <w:rPr>
          <w:rFonts w:hint="eastAsia" w:ascii="仿宋_GB2312" w:hAnsi="仿宋_GB2312" w:eastAsia="仿宋_GB2312" w:cs="仿宋_GB2312"/>
          <w:color w:val="auto"/>
          <w:spacing w:val="-6"/>
          <w:kern w:val="0"/>
          <w:sz w:val="32"/>
          <w:szCs w:val="32"/>
          <w:highlight w:val="none"/>
          <w:u w:val="none"/>
          <w:lang w:val="en-US" w:eastAsia="zh-CN"/>
        </w:rPr>
        <w:t>8000</w:t>
      </w:r>
      <w:r>
        <w:rPr>
          <w:rFonts w:hint="eastAsia" w:ascii="仿宋_GB2312" w:hAnsi="仿宋_GB2312" w:eastAsia="仿宋_GB2312" w:cs="仿宋_GB2312"/>
          <w:color w:val="auto"/>
          <w:spacing w:val="-6"/>
          <w:kern w:val="0"/>
          <w:sz w:val="32"/>
          <w:szCs w:val="32"/>
          <w:highlight w:val="none"/>
          <w:u w:val="none"/>
          <w:lang w:eastAsia="zh-CN"/>
        </w:rPr>
        <w:t>万元（折合约</w:t>
      </w:r>
      <w:r>
        <w:rPr>
          <w:rFonts w:hint="eastAsia" w:ascii="仿宋_GB2312" w:hAnsi="仿宋_GB2312" w:eastAsia="仿宋_GB2312" w:cs="仿宋_GB2312"/>
          <w:color w:val="auto"/>
          <w:spacing w:val="-6"/>
          <w:kern w:val="0"/>
          <w:sz w:val="32"/>
          <w:szCs w:val="32"/>
          <w:highlight w:val="none"/>
          <w:u w:val="none"/>
          <w:lang w:val="en-US" w:eastAsia="zh-CN"/>
        </w:rPr>
        <w:t>23.5</w:t>
      </w:r>
      <w:r>
        <w:rPr>
          <w:rFonts w:hint="eastAsia" w:ascii="仿宋_GB2312" w:hAnsi="仿宋_GB2312" w:eastAsia="仿宋_GB2312" w:cs="仿宋_GB2312"/>
          <w:color w:val="auto"/>
          <w:spacing w:val="-6"/>
          <w:kern w:val="0"/>
          <w:sz w:val="32"/>
          <w:szCs w:val="32"/>
          <w:highlight w:val="none"/>
          <w:u w:val="none"/>
          <w:lang w:eastAsia="zh-CN"/>
        </w:rPr>
        <w:t>万元/亩）。</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default" w:ascii="仿宋_GB2312" w:hAnsi="仿宋_GB2312" w:eastAsia="仿宋_GB2312" w:cs="仿宋_GB2312"/>
          <w:color w:val="auto"/>
          <w:spacing w:val="-6"/>
          <w:kern w:val="0"/>
          <w:sz w:val="32"/>
          <w:szCs w:val="32"/>
          <w:highlight w:val="none"/>
          <w:u w:val="none"/>
          <w:lang w:eastAsia="zh-CN"/>
        </w:rPr>
        <w:t>改造</w:t>
      </w:r>
      <w:r>
        <w:rPr>
          <w:rFonts w:hint="eastAsia" w:ascii="仿宋_GB2312" w:hAnsi="仿宋_GB2312" w:eastAsia="仿宋_GB2312" w:cs="仿宋_GB2312"/>
          <w:color w:val="auto"/>
          <w:spacing w:val="-6"/>
          <w:kern w:val="0"/>
          <w:sz w:val="32"/>
          <w:szCs w:val="32"/>
          <w:highlight w:val="none"/>
          <w:u w:val="none"/>
          <w:lang w:eastAsia="zh-CN"/>
        </w:rPr>
        <w:t>主体</w:t>
      </w:r>
      <w:r>
        <w:rPr>
          <w:rFonts w:hint="default" w:ascii="仿宋_GB2312" w:hAnsi="仿宋_GB2312" w:eastAsia="仿宋_GB2312" w:cs="仿宋_GB2312"/>
          <w:color w:val="auto"/>
          <w:spacing w:val="-6"/>
          <w:kern w:val="0"/>
          <w:sz w:val="32"/>
          <w:szCs w:val="32"/>
          <w:highlight w:val="none"/>
          <w:u w:val="none"/>
          <w:lang w:eastAsia="zh-CN"/>
        </w:rPr>
        <w:t>地块闲置情况</w:t>
      </w:r>
      <w:r>
        <w:rPr>
          <w:rFonts w:hint="eastAsia" w:ascii="仿宋_GB2312" w:hAnsi="仿宋_GB2312" w:eastAsia="仿宋_GB2312" w:cs="仿宋_GB2312"/>
          <w:color w:val="auto"/>
          <w:spacing w:val="-6"/>
          <w:kern w:val="0"/>
          <w:sz w:val="32"/>
          <w:szCs w:val="32"/>
          <w:highlight w:val="none"/>
          <w:u w:val="none"/>
          <w:lang w:eastAsia="zh-CN"/>
        </w:rPr>
        <w:t>：经核查，地块符合《中山市旧厂房改造升级实施细则（修订）》（中府〔2023〕58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”规定；根据《中山市进一步优化“工改”审批机制实施方案》（中山工改发〔2023〕</w:t>
      </w:r>
      <w:r>
        <w:rPr>
          <w:rFonts w:hint="eastAsia" w:ascii="仿宋_GB2312" w:hAnsi="仿宋_GB2312" w:eastAsia="仿宋_GB2312" w:cs="仿宋_GB2312"/>
          <w:color w:val="auto"/>
          <w:spacing w:val="-6"/>
          <w:kern w:val="0"/>
          <w:sz w:val="32"/>
          <w:szCs w:val="32"/>
          <w:highlight w:val="none"/>
          <w:u w:val="none"/>
          <w:lang w:val="en-US" w:eastAsia="zh-CN"/>
        </w:rPr>
        <w:t>4</w:t>
      </w:r>
      <w:r>
        <w:rPr>
          <w:rFonts w:hint="eastAsia" w:ascii="仿宋_GB2312" w:hAnsi="仿宋_GB2312" w:eastAsia="仿宋_GB2312" w:cs="仿宋_GB2312"/>
          <w:color w:val="auto"/>
          <w:spacing w:val="-6"/>
          <w:kern w:val="0"/>
          <w:sz w:val="32"/>
          <w:szCs w:val="32"/>
          <w:highlight w:val="none"/>
          <w:u w:val="none"/>
          <w:lang w:eastAsia="zh-CN"/>
        </w:rPr>
        <w:t xml:space="preserve"> 号）第二项第（一）点规定，改造地块拟于改造方案批复后办理相关手续。</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改造主体地块</w:t>
      </w:r>
      <w:r>
        <w:rPr>
          <w:rFonts w:hint="default" w:ascii="仿宋_GB2312" w:hAnsi="仿宋_GB2312" w:eastAsia="仿宋_GB2312" w:cs="仿宋_GB2312"/>
          <w:color w:val="auto"/>
          <w:spacing w:val="-6"/>
          <w:kern w:val="0"/>
          <w:sz w:val="32"/>
          <w:szCs w:val="32"/>
          <w:highlight w:val="none"/>
          <w:u w:val="none"/>
          <w:lang w:eastAsia="zh-CN"/>
        </w:rPr>
        <w:t>不涉及查封、</w:t>
      </w:r>
      <w:r>
        <w:rPr>
          <w:rFonts w:hint="eastAsia" w:ascii="仿宋_GB2312" w:hAnsi="仿宋_GB2312" w:eastAsia="仿宋_GB2312" w:cs="仿宋_GB2312"/>
          <w:color w:val="auto"/>
          <w:spacing w:val="-6"/>
          <w:kern w:val="0"/>
          <w:sz w:val="32"/>
          <w:szCs w:val="32"/>
          <w:highlight w:val="none"/>
          <w:u w:val="none"/>
          <w:lang w:eastAsia="zh-CN"/>
        </w:rPr>
        <w:t>抵押、</w:t>
      </w:r>
      <w:r>
        <w:rPr>
          <w:rFonts w:hint="default" w:ascii="仿宋_GB2312" w:hAnsi="仿宋_GB2312" w:eastAsia="仿宋_GB2312" w:cs="仿宋_GB2312"/>
          <w:color w:val="auto"/>
          <w:spacing w:val="-6"/>
          <w:kern w:val="0"/>
          <w:sz w:val="32"/>
          <w:szCs w:val="32"/>
          <w:highlight w:val="none"/>
          <w:u w:val="none"/>
          <w:lang w:eastAsia="zh-CN"/>
        </w:rPr>
        <w:t>历史文化资源要素</w:t>
      </w:r>
      <w:r>
        <w:rPr>
          <w:rFonts w:hint="eastAsia" w:ascii="仿宋_GB2312" w:hAnsi="仿宋_GB2312" w:eastAsia="仿宋_GB2312" w:cs="仿宋_GB2312"/>
          <w:color w:val="auto"/>
          <w:spacing w:val="-6"/>
          <w:kern w:val="0"/>
          <w:sz w:val="32"/>
          <w:szCs w:val="32"/>
          <w:highlight w:val="none"/>
          <w:u w:val="none"/>
          <w:lang w:eastAsia="zh-CN"/>
        </w:rPr>
        <w:t>、森林资源、土壤环境潜在监管地块</w:t>
      </w:r>
      <w:r>
        <w:rPr>
          <w:rFonts w:hint="default" w:ascii="仿宋_GB2312" w:hAnsi="仿宋_GB2312" w:eastAsia="仿宋_GB2312" w:cs="仿宋_GB2312"/>
          <w:color w:val="auto"/>
          <w:spacing w:val="-6"/>
          <w:kern w:val="0"/>
          <w:sz w:val="32"/>
          <w:szCs w:val="32"/>
          <w:highlight w:val="none"/>
          <w:u w:val="none"/>
          <w:lang w:eastAsia="zh-CN"/>
        </w:rPr>
        <w:t>等情况</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（五）规划情况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改造地块符合国土空间总体规划及控制性详细规划。其中，在国土空间总体规划中，属城镇建设用地</w:t>
      </w:r>
      <w:r>
        <w:rPr>
          <w:rFonts w:hint="eastAsia" w:ascii="仿宋_GB2312" w:hAnsi="仿宋_GB2312" w:eastAsia="仿宋_GB2312" w:cs="仿宋_GB2312"/>
          <w:color w:val="auto"/>
          <w:spacing w:val="-6"/>
          <w:kern w:val="0"/>
          <w:sz w:val="32"/>
          <w:szCs w:val="32"/>
          <w:highlight w:val="none"/>
          <w:u w:val="none"/>
          <w:lang w:val="en-US" w:eastAsia="zh-CN"/>
        </w:rPr>
        <w:t>22.6952</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226951.7</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340.42</w:t>
      </w:r>
      <w:r>
        <w:rPr>
          <w:rFonts w:hint="eastAsia" w:ascii="仿宋_GB2312" w:hAnsi="仿宋_GB2312" w:eastAsia="仿宋_GB2312" w:cs="仿宋_GB2312"/>
          <w:color w:val="auto"/>
          <w:spacing w:val="-6"/>
          <w:kern w:val="0"/>
          <w:sz w:val="32"/>
          <w:szCs w:val="32"/>
          <w:highlight w:val="none"/>
          <w:u w:val="none"/>
          <w:lang w:eastAsia="zh-CN"/>
        </w:rPr>
        <w:t>亩）；在《南头镇升辉北路以西用地控制性详细规划调整》（中府函〔2015〕95号）中，一类工业用地</w:t>
      </w:r>
      <w:r>
        <w:rPr>
          <w:rFonts w:hint="eastAsia" w:ascii="仿宋_GB2312" w:hAnsi="仿宋_GB2312" w:eastAsia="仿宋_GB2312" w:cs="仿宋_GB2312"/>
          <w:color w:val="auto"/>
          <w:spacing w:val="-6"/>
          <w:kern w:val="0"/>
          <w:sz w:val="32"/>
          <w:szCs w:val="32"/>
          <w:highlight w:val="none"/>
          <w:u w:val="none"/>
          <w:lang w:val="en-US" w:eastAsia="zh-CN"/>
        </w:rPr>
        <w:t>21.3407</w:t>
      </w:r>
      <w:r>
        <w:rPr>
          <w:rFonts w:hint="eastAsia" w:ascii="仿宋_GB2312" w:hAnsi="仿宋_GB2312" w:eastAsia="仿宋_GB2312" w:cs="仿宋_GB2312"/>
          <w:color w:val="auto"/>
          <w:spacing w:val="-6"/>
          <w:kern w:val="0"/>
          <w:sz w:val="32"/>
          <w:szCs w:val="32"/>
          <w:highlight w:val="none"/>
          <w:u w:val="none"/>
          <w:lang w:eastAsia="zh-CN"/>
        </w:rPr>
        <w:t>公顷（213406.60平方米，折合约</w:t>
      </w:r>
      <w:r>
        <w:rPr>
          <w:rFonts w:hint="eastAsia" w:ascii="仿宋_GB2312" w:hAnsi="仿宋_GB2312" w:eastAsia="仿宋_GB2312" w:cs="仿宋_GB2312"/>
          <w:color w:val="auto"/>
          <w:spacing w:val="-6"/>
          <w:kern w:val="0"/>
          <w:sz w:val="32"/>
          <w:szCs w:val="32"/>
          <w:highlight w:val="none"/>
          <w:u w:val="none"/>
          <w:lang w:val="en-US" w:eastAsia="zh-CN"/>
        </w:rPr>
        <w:t>320.11</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lang w:val="en-US" w:eastAsia="zh-CN"/>
        </w:rPr>
        <w:t>规划容积率1-3.5,建筑密度35%-60%，绿地率10%-15%，建筑高度50米</w:t>
      </w:r>
      <w:r>
        <w:rPr>
          <w:rFonts w:hint="eastAsia" w:ascii="仿宋_GB2312" w:hAnsi="仿宋_GB2312" w:eastAsia="仿宋_GB2312" w:cs="仿宋_GB2312"/>
          <w:color w:val="auto"/>
          <w:spacing w:val="-6"/>
          <w:kern w:val="0"/>
          <w:sz w:val="32"/>
          <w:szCs w:val="32"/>
          <w:highlight w:val="none"/>
          <w:u w:val="none"/>
          <w:lang w:eastAsia="zh-CN"/>
        </w:rPr>
        <w:t>，公园绿地用地</w:t>
      </w:r>
      <w:r>
        <w:rPr>
          <w:rFonts w:hint="eastAsia" w:ascii="仿宋_GB2312" w:hAnsi="仿宋_GB2312" w:eastAsia="仿宋_GB2312" w:cs="仿宋_GB2312"/>
          <w:color w:val="auto"/>
          <w:spacing w:val="-6"/>
          <w:kern w:val="0"/>
          <w:sz w:val="32"/>
          <w:szCs w:val="32"/>
          <w:highlight w:val="none"/>
          <w:u w:val="none"/>
          <w:lang w:val="en-US" w:eastAsia="zh-CN"/>
        </w:rPr>
        <w:t>0.3526</w:t>
      </w:r>
      <w:r>
        <w:rPr>
          <w:rFonts w:hint="eastAsia" w:ascii="仿宋_GB2312" w:hAnsi="仿宋_GB2312" w:eastAsia="仿宋_GB2312" w:cs="仿宋_GB2312"/>
          <w:color w:val="auto"/>
          <w:spacing w:val="-6"/>
          <w:kern w:val="0"/>
          <w:sz w:val="32"/>
          <w:szCs w:val="32"/>
          <w:highlight w:val="none"/>
          <w:u w:val="none"/>
          <w:lang w:eastAsia="zh-CN"/>
        </w:rPr>
        <w:t>公顷（3525.84平方米，折合约</w:t>
      </w:r>
      <w:r>
        <w:rPr>
          <w:rFonts w:hint="eastAsia" w:ascii="仿宋_GB2312" w:hAnsi="仿宋_GB2312" w:eastAsia="仿宋_GB2312" w:cs="仿宋_GB2312"/>
          <w:color w:val="auto"/>
          <w:spacing w:val="-6"/>
          <w:kern w:val="0"/>
          <w:sz w:val="32"/>
          <w:szCs w:val="32"/>
          <w:highlight w:val="none"/>
          <w:u w:val="none"/>
          <w:lang w:val="en-US" w:eastAsia="zh-CN"/>
        </w:rPr>
        <w:t>5.29</w:t>
      </w:r>
      <w:r>
        <w:rPr>
          <w:rFonts w:hint="eastAsia" w:ascii="仿宋_GB2312" w:hAnsi="仿宋_GB2312" w:eastAsia="仿宋_GB2312" w:cs="仿宋_GB2312"/>
          <w:color w:val="auto"/>
          <w:spacing w:val="-6"/>
          <w:kern w:val="0"/>
          <w:sz w:val="32"/>
          <w:szCs w:val="32"/>
          <w:highlight w:val="none"/>
          <w:u w:val="none"/>
          <w:lang w:eastAsia="zh-CN"/>
        </w:rPr>
        <w:t>亩），防护绿地</w:t>
      </w:r>
      <w:r>
        <w:rPr>
          <w:rFonts w:hint="eastAsia" w:ascii="仿宋_GB2312" w:hAnsi="仿宋_GB2312" w:eastAsia="仿宋_GB2312" w:cs="仿宋_GB2312"/>
          <w:color w:val="auto"/>
          <w:spacing w:val="-6"/>
          <w:kern w:val="0"/>
          <w:sz w:val="32"/>
          <w:szCs w:val="32"/>
          <w:highlight w:val="none"/>
          <w:u w:val="none"/>
          <w:lang w:val="en-US" w:eastAsia="zh-CN"/>
        </w:rPr>
        <w:t>0.2589</w:t>
      </w:r>
      <w:r>
        <w:rPr>
          <w:rFonts w:hint="eastAsia" w:ascii="仿宋_GB2312" w:hAnsi="仿宋_GB2312" w:eastAsia="仿宋_GB2312" w:cs="仿宋_GB2312"/>
          <w:color w:val="auto"/>
          <w:spacing w:val="-6"/>
          <w:kern w:val="0"/>
          <w:sz w:val="32"/>
          <w:szCs w:val="32"/>
          <w:highlight w:val="none"/>
          <w:u w:val="none"/>
          <w:lang w:eastAsia="zh-CN"/>
        </w:rPr>
        <w:t>公顷（2588.64平方米，折合约</w:t>
      </w:r>
      <w:r>
        <w:rPr>
          <w:rFonts w:hint="eastAsia" w:ascii="仿宋_GB2312" w:hAnsi="仿宋_GB2312" w:eastAsia="仿宋_GB2312" w:cs="仿宋_GB2312"/>
          <w:color w:val="auto"/>
          <w:spacing w:val="-6"/>
          <w:kern w:val="0"/>
          <w:sz w:val="32"/>
          <w:szCs w:val="32"/>
          <w:highlight w:val="none"/>
          <w:u w:val="none"/>
          <w:lang w:val="en-US" w:eastAsia="zh-CN"/>
        </w:rPr>
        <w:t>3.88</w:t>
      </w:r>
      <w:r>
        <w:rPr>
          <w:rFonts w:hint="eastAsia" w:ascii="仿宋_GB2312" w:hAnsi="仿宋_GB2312" w:eastAsia="仿宋_GB2312" w:cs="仿宋_GB2312"/>
          <w:color w:val="auto"/>
          <w:spacing w:val="-6"/>
          <w:kern w:val="0"/>
          <w:sz w:val="32"/>
          <w:szCs w:val="32"/>
          <w:highlight w:val="none"/>
          <w:u w:val="none"/>
          <w:lang w:eastAsia="zh-CN"/>
        </w:rPr>
        <w:t>亩），道路用地</w:t>
      </w:r>
      <w:r>
        <w:rPr>
          <w:rFonts w:hint="eastAsia" w:ascii="仿宋_GB2312" w:hAnsi="仿宋_GB2312" w:eastAsia="仿宋_GB2312" w:cs="仿宋_GB2312"/>
          <w:color w:val="auto"/>
          <w:spacing w:val="-6"/>
          <w:kern w:val="0"/>
          <w:sz w:val="32"/>
          <w:szCs w:val="32"/>
          <w:highlight w:val="none"/>
          <w:u w:val="none"/>
          <w:lang w:val="en-US" w:eastAsia="zh-CN"/>
        </w:rPr>
        <w:t>0.7396</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7396.03</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11.09</w:t>
      </w:r>
      <w:r>
        <w:rPr>
          <w:rFonts w:hint="eastAsia" w:ascii="仿宋_GB2312" w:hAnsi="仿宋_GB2312" w:eastAsia="仿宋_GB2312" w:cs="仿宋_GB2312"/>
          <w:color w:val="auto"/>
          <w:spacing w:val="-6"/>
          <w:kern w:val="0"/>
          <w:sz w:val="32"/>
          <w:szCs w:val="32"/>
          <w:highlight w:val="none"/>
          <w:u w:val="none"/>
          <w:lang w:eastAsia="zh-CN"/>
        </w:rPr>
        <w:t>亩），水域用地</w:t>
      </w:r>
      <w:r>
        <w:rPr>
          <w:rFonts w:hint="eastAsia" w:ascii="仿宋_GB2312" w:hAnsi="仿宋_GB2312" w:eastAsia="仿宋_GB2312" w:cs="仿宋_GB2312"/>
          <w:color w:val="auto"/>
          <w:spacing w:val="-6"/>
          <w:kern w:val="0"/>
          <w:sz w:val="32"/>
          <w:szCs w:val="32"/>
          <w:highlight w:val="none"/>
          <w:u w:val="none"/>
          <w:lang w:val="en-US" w:eastAsia="zh-CN"/>
        </w:rPr>
        <w:t>0.0035</w:t>
      </w:r>
      <w:r>
        <w:rPr>
          <w:rFonts w:hint="eastAsia" w:ascii="仿宋_GB2312" w:hAnsi="仿宋_GB2312" w:eastAsia="仿宋_GB2312" w:cs="仿宋_GB2312"/>
          <w:color w:val="auto"/>
          <w:spacing w:val="-6"/>
          <w:kern w:val="0"/>
          <w:sz w:val="32"/>
          <w:szCs w:val="32"/>
          <w:highlight w:val="none"/>
          <w:u w:val="none"/>
          <w:lang w:eastAsia="zh-CN"/>
        </w:rPr>
        <w:t>公顷（34.59平方米，折合约</w:t>
      </w:r>
      <w:r>
        <w:rPr>
          <w:rFonts w:hint="eastAsia" w:ascii="仿宋_GB2312" w:hAnsi="仿宋_GB2312" w:eastAsia="仿宋_GB2312" w:cs="仿宋_GB2312"/>
          <w:color w:val="auto"/>
          <w:spacing w:val="-6"/>
          <w:kern w:val="0"/>
          <w:sz w:val="32"/>
          <w:szCs w:val="32"/>
          <w:highlight w:val="none"/>
          <w:u w:val="none"/>
          <w:lang w:val="en-US" w:eastAsia="zh-CN"/>
        </w:rPr>
        <w:t>0.05</w:t>
      </w:r>
      <w:r>
        <w:rPr>
          <w:rFonts w:hint="eastAsia" w:ascii="仿宋_GB2312" w:hAnsi="仿宋_GB2312" w:eastAsia="仿宋_GB2312" w:cs="仿宋_GB2312"/>
          <w:color w:val="auto"/>
          <w:spacing w:val="-6"/>
          <w:kern w:val="0"/>
          <w:sz w:val="32"/>
          <w:szCs w:val="32"/>
          <w:highlight w:val="none"/>
          <w:u w:val="none"/>
          <w:lang w:eastAsia="zh-CN"/>
        </w:rPr>
        <w:t>亩）。</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default" w:ascii="仿宋_GB2312" w:hAnsi="仿宋_GB2312" w:eastAsia="仿宋_GB2312" w:cs="仿宋_GB2312"/>
          <w:color w:val="auto"/>
          <w:spacing w:val="-6"/>
          <w:kern w:val="0"/>
          <w:sz w:val="32"/>
          <w:szCs w:val="32"/>
          <w:highlight w:val="none"/>
          <w:u w:val="none"/>
          <w:lang w:val="en-US" w:eastAsia="zh-CN"/>
        </w:rPr>
        <w:t>改造主体地块位于</w:t>
      </w:r>
      <w:r>
        <w:rPr>
          <w:rFonts w:hint="eastAsia" w:ascii="仿宋_GB2312" w:hAnsi="仿宋_GB2312" w:eastAsia="仿宋_GB2312" w:cs="仿宋_GB2312"/>
          <w:color w:val="auto"/>
          <w:spacing w:val="-6"/>
          <w:kern w:val="0"/>
          <w:sz w:val="32"/>
          <w:szCs w:val="32"/>
          <w:highlight w:val="none"/>
          <w:u w:val="none"/>
          <w:lang w:val="en-US" w:eastAsia="zh-CN"/>
        </w:rPr>
        <w:t>“三区三线”</w:t>
      </w:r>
      <w:r>
        <w:rPr>
          <w:rFonts w:hint="default" w:ascii="仿宋_GB2312" w:hAnsi="仿宋_GB2312" w:eastAsia="仿宋_GB2312" w:cs="仿宋_GB2312"/>
          <w:color w:val="auto"/>
          <w:spacing w:val="-6"/>
          <w:kern w:val="0"/>
          <w:sz w:val="32"/>
          <w:szCs w:val="32"/>
          <w:highlight w:val="none"/>
          <w:u w:val="none"/>
          <w:lang w:val="en-US" w:eastAsia="zh-CN"/>
        </w:rPr>
        <w:t>城镇开发边界内，不涉及永久基本农田、生态保护红线等管控要求</w:t>
      </w:r>
      <w:r>
        <w:rPr>
          <w:rFonts w:hint="eastAsia" w:ascii="仿宋_GB2312" w:hAnsi="仿宋_GB2312" w:eastAsia="仿宋_GB2312" w:cs="仿宋_GB2312"/>
          <w:color w:val="auto"/>
          <w:spacing w:val="-6"/>
          <w:kern w:val="0"/>
          <w:sz w:val="32"/>
          <w:szCs w:val="32"/>
          <w:highlight w:val="none"/>
          <w:u w:val="none"/>
          <w:lang w:eastAsia="zh-CN"/>
        </w:rPr>
        <w:t>。</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二、改造意愿情况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改造范围涉及广东长虹电子有限公司1个权利主体，南头镇人民政府已按照法律法规，就改造范围、土地现状、改造主体及拟改造情况等事项征询涉及所有产权人改造意愿，同意将涉及土地、房屋纳入改造范围。</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三、改造主体及拟改造情况</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有关规划要求，改造项目严格按照国土空间总体规划、控制性详细规划管控要求实施建设。在规划中属非建设用地部分，按照非建设用地进行管控；涉及到压占市域蓝线部分，按照相关市域蓝线规划进行管控，在后续规划建设过程中做好退让，不得在河道管理范围内建设建筑物及妨碍行洪构筑物，确需占用河道管理范围的，需依法依规办理相关行政许可手续；在详细规划中属道路和绿地等公益性用地部分，日后属地政府需按规划开发建设时，应无偿将用地交给属地政府使用。</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改造项目拟采取土地产权人自主改造方式，由广东长虹电子有限公司作为改造主体，实施</w:t>
      </w:r>
      <w:r>
        <w:rPr>
          <w:rFonts w:hint="eastAsia" w:ascii="仿宋_GB2312" w:hAnsi="仿宋_GB2312" w:eastAsia="仿宋_GB2312" w:cs="仿宋_GB2312"/>
          <w:color w:val="auto"/>
          <w:spacing w:val="-6"/>
          <w:kern w:val="0"/>
          <w:sz w:val="32"/>
          <w:szCs w:val="32"/>
          <w:highlight w:val="none"/>
          <w:u w:val="none"/>
          <w:lang w:val="en-US" w:eastAsia="zh-CN"/>
        </w:rPr>
        <w:t>局部</w:t>
      </w:r>
      <w:r>
        <w:rPr>
          <w:rFonts w:hint="eastAsia" w:ascii="仿宋_GB2312" w:hAnsi="仿宋_GB2312" w:eastAsia="仿宋_GB2312" w:cs="仿宋_GB2312"/>
          <w:color w:val="auto"/>
          <w:spacing w:val="-6"/>
          <w:kern w:val="0"/>
          <w:sz w:val="32"/>
          <w:szCs w:val="32"/>
          <w:highlight w:val="none"/>
          <w:u w:val="none"/>
          <w:lang w:eastAsia="zh-CN"/>
        </w:rPr>
        <w:t>改造。改造后将用于生产</w:t>
      </w:r>
      <w:r>
        <w:rPr>
          <w:rFonts w:hint="eastAsia" w:ascii="仿宋_GB2312" w:hAnsi="仿宋_GB2312" w:eastAsia="仿宋_GB2312" w:cs="仿宋_GB2312"/>
          <w:color w:val="auto"/>
          <w:spacing w:val="-6"/>
          <w:kern w:val="0"/>
          <w:sz w:val="32"/>
          <w:szCs w:val="32"/>
          <w:highlight w:val="none"/>
          <w:u w:val="none"/>
          <w:lang w:val="en-US" w:eastAsia="zh-CN"/>
        </w:rPr>
        <w:t>家用电器</w:t>
      </w:r>
      <w:r>
        <w:rPr>
          <w:rFonts w:hint="eastAsia" w:ascii="仿宋_GB2312" w:hAnsi="仿宋_GB2312" w:eastAsia="仿宋_GB2312" w:cs="仿宋_GB2312"/>
          <w:color w:val="auto"/>
          <w:spacing w:val="-6"/>
          <w:kern w:val="0"/>
          <w:sz w:val="32"/>
          <w:szCs w:val="32"/>
          <w:highlight w:val="none"/>
          <w:u w:val="none"/>
          <w:lang w:eastAsia="zh-CN"/>
        </w:rPr>
        <w:t>及上下游企业产品，在符合详细规划的基础上，容积率不小于</w:t>
      </w:r>
      <w:r>
        <w:rPr>
          <w:rFonts w:hint="eastAsia" w:ascii="仿宋_GB2312" w:hAnsi="仿宋_GB2312" w:eastAsia="仿宋_GB2312" w:cs="仿宋_GB2312"/>
          <w:color w:val="auto"/>
          <w:spacing w:val="-6"/>
          <w:kern w:val="0"/>
          <w:sz w:val="32"/>
          <w:szCs w:val="32"/>
          <w:highlight w:val="none"/>
          <w:u w:val="none"/>
          <w:lang w:val="en-US" w:eastAsia="zh-CN"/>
        </w:rPr>
        <w:t>1.5</w:t>
      </w:r>
      <w:r>
        <w:rPr>
          <w:rFonts w:hint="eastAsia" w:ascii="仿宋_GB2312" w:hAnsi="仿宋_GB2312" w:eastAsia="仿宋_GB2312" w:cs="仿宋_GB2312"/>
          <w:color w:val="auto"/>
          <w:spacing w:val="-6"/>
          <w:kern w:val="0"/>
          <w:sz w:val="32"/>
          <w:szCs w:val="32"/>
          <w:highlight w:val="none"/>
          <w:u w:val="none"/>
          <w:lang w:eastAsia="zh-CN"/>
        </w:rPr>
        <w:t>，总建筑面积不小于</w:t>
      </w:r>
      <w:r>
        <w:rPr>
          <w:rFonts w:hint="eastAsia" w:ascii="仿宋_GB2312" w:hAnsi="仿宋_GB2312" w:eastAsia="仿宋_GB2312" w:cs="仿宋_GB2312"/>
          <w:color w:val="auto"/>
          <w:spacing w:val="-6"/>
          <w:kern w:val="0"/>
          <w:sz w:val="32"/>
          <w:szCs w:val="32"/>
          <w:highlight w:val="none"/>
          <w:u w:val="none"/>
          <w:lang w:val="en-US" w:eastAsia="zh-CN"/>
        </w:rPr>
        <w:t>340000</w:t>
      </w:r>
      <w:r>
        <w:rPr>
          <w:rFonts w:hint="eastAsia" w:ascii="仿宋_GB2312" w:hAnsi="仿宋_GB2312" w:eastAsia="仿宋_GB2312" w:cs="仿宋_GB2312"/>
          <w:color w:val="auto"/>
          <w:spacing w:val="-6"/>
          <w:kern w:val="0"/>
          <w:sz w:val="32"/>
          <w:szCs w:val="32"/>
          <w:highlight w:val="none"/>
          <w:u w:val="none"/>
          <w:lang w:eastAsia="zh-CN"/>
        </w:rPr>
        <w:t>平方米（含</w:t>
      </w:r>
      <w:r>
        <w:rPr>
          <w:rFonts w:hint="eastAsia" w:ascii="仿宋_GB2312" w:hAnsi="仿宋_GB2312" w:eastAsia="仿宋_GB2312" w:cs="仿宋_GB2312"/>
          <w:color w:val="auto"/>
          <w:spacing w:val="-6"/>
          <w:kern w:val="0"/>
          <w:sz w:val="32"/>
          <w:szCs w:val="32"/>
          <w:highlight w:val="none"/>
          <w:u w:val="none"/>
          <w:lang w:val="en-US" w:eastAsia="zh-CN"/>
        </w:rPr>
        <w:t>保留部分建筑物约100000平方米</w:t>
      </w:r>
      <w:r>
        <w:rPr>
          <w:rFonts w:hint="eastAsia" w:ascii="仿宋_GB2312" w:hAnsi="仿宋_GB2312" w:eastAsia="仿宋_GB2312" w:cs="仿宋_GB2312"/>
          <w:color w:val="auto"/>
          <w:spacing w:val="-6"/>
          <w:kern w:val="0"/>
          <w:sz w:val="32"/>
          <w:szCs w:val="32"/>
          <w:highlight w:val="none"/>
          <w:u w:val="none"/>
          <w:lang w:eastAsia="zh-CN"/>
        </w:rPr>
        <w:t>），其中新建建筑面积不小于</w:t>
      </w:r>
      <w:r>
        <w:rPr>
          <w:rFonts w:hint="eastAsia" w:ascii="仿宋_GB2312" w:hAnsi="仿宋_GB2312" w:eastAsia="仿宋_GB2312" w:cs="仿宋_GB2312"/>
          <w:color w:val="auto"/>
          <w:spacing w:val="-6"/>
          <w:kern w:val="0"/>
          <w:sz w:val="32"/>
          <w:szCs w:val="32"/>
          <w:highlight w:val="none"/>
          <w:u w:val="none"/>
          <w:lang w:val="en-US" w:eastAsia="zh-CN"/>
        </w:rPr>
        <w:t>240000</w:t>
      </w:r>
      <w:r>
        <w:rPr>
          <w:rFonts w:hint="eastAsia" w:ascii="仿宋_GB2312" w:hAnsi="仿宋_GB2312" w:eastAsia="仿宋_GB2312" w:cs="仿宋_GB2312"/>
          <w:color w:val="auto"/>
          <w:spacing w:val="-6"/>
          <w:kern w:val="0"/>
          <w:sz w:val="32"/>
          <w:szCs w:val="32"/>
          <w:highlight w:val="none"/>
          <w:u w:val="none"/>
          <w:lang w:eastAsia="zh-CN"/>
        </w:rPr>
        <w:t>平方米（含不计容建筑面积</w:t>
      </w:r>
      <w:r>
        <w:rPr>
          <w:rFonts w:hint="eastAsia" w:ascii="仿宋_GB2312" w:hAnsi="仿宋_GB2312" w:eastAsia="仿宋_GB2312" w:cs="仿宋_GB2312"/>
          <w:color w:val="auto"/>
          <w:spacing w:val="-6"/>
          <w:kern w:val="0"/>
          <w:sz w:val="32"/>
          <w:szCs w:val="32"/>
          <w:highlight w:val="none"/>
          <w:u w:val="none"/>
          <w:lang w:val="en-US" w:eastAsia="zh-CN"/>
        </w:rPr>
        <w:t>7500</w:t>
      </w:r>
      <w:r>
        <w:rPr>
          <w:rFonts w:hint="eastAsia" w:ascii="仿宋_GB2312" w:hAnsi="仿宋_GB2312" w:eastAsia="仿宋_GB2312" w:cs="仿宋_GB2312"/>
          <w:color w:val="auto"/>
          <w:spacing w:val="-6"/>
          <w:kern w:val="0"/>
          <w:sz w:val="32"/>
          <w:szCs w:val="32"/>
          <w:highlight w:val="none"/>
          <w:u w:val="none"/>
          <w:lang w:eastAsia="zh-CN"/>
        </w:rPr>
        <w:t>平方米）</w:t>
      </w:r>
      <w:r>
        <w:rPr>
          <w:rFonts w:hint="default"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val="en-US" w:eastAsia="zh-CN"/>
        </w:rPr>
        <w:t>通过补办手续</w:t>
      </w:r>
      <w:r>
        <w:rPr>
          <w:rFonts w:hint="default" w:ascii="Times New Roman" w:hAnsi="Times New Roman" w:eastAsia="仿宋_GB2312" w:cs="Times New Roman"/>
          <w:spacing w:val="-6"/>
          <w:kern w:val="0"/>
          <w:sz w:val="32"/>
          <w:szCs w:val="32"/>
          <w:highlight w:val="none"/>
          <w:u w:val="none"/>
        </w:rPr>
        <w:t>保留建筑面积</w:t>
      </w:r>
      <w:r>
        <w:rPr>
          <w:rFonts w:hint="eastAsia" w:ascii="Times New Roman" w:hAnsi="Times New Roman" w:eastAsia="仿宋_GB2312" w:cs="Times New Roman"/>
          <w:spacing w:val="-6"/>
          <w:kern w:val="0"/>
          <w:sz w:val="32"/>
          <w:szCs w:val="32"/>
          <w:highlight w:val="none"/>
          <w:u w:val="none"/>
          <w:lang w:eastAsia="zh-CN"/>
        </w:rPr>
        <w:t>约</w:t>
      </w:r>
      <w:r>
        <w:rPr>
          <w:rFonts w:hint="eastAsia" w:ascii="Times New Roman" w:hAnsi="Times New Roman" w:eastAsia="仿宋_GB2312" w:cs="Times New Roman"/>
          <w:spacing w:val="-6"/>
          <w:kern w:val="0"/>
          <w:sz w:val="32"/>
          <w:szCs w:val="32"/>
          <w:highlight w:val="none"/>
          <w:u w:val="none"/>
          <w:lang w:val="en-US" w:eastAsia="zh-CN"/>
        </w:rPr>
        <w:t>100000</w:t>
      </w:r>
      <w:r>
        <w:rPr>
          <w:rFonts w:hint="default" w:ascii="Times New Roman" w:hAnsi="Times New Roman" w:eastAsia="仿宋_GB2312" w:cs="Times New Roman"/>
          <w:spacing w:val="-6"/>
          <w:kern w:val="0"/>
          <w:sz w:val="32"/>
          <w:szCs w:val="32"/>
          <w:highlight w:val="none"/>
          <w:u w:val="none"/>
        </w:rPr>
        <w:t>平方米</w:t>
      </w:r>
      <w:r>
        <w:rPr>
          <w:rFonts w:hint="eastAsia" w:ascii="Times New Roman" w:hAnsi="Times New Roman" w:eastAsia="仿宋_GB2312" w:cs="Times New Roman"/>
          <w:spacing w:val="-6"/>
          <w:kern w:val="0"/>
          <w:sz w:val="32"/>
          <w:szCs w:val="32"/>
          <w:highlight w:val="none"/>
          <w:u w:val="none"/>
          <w:lang w:eastAsia="zh-CN"/>
        </w:rPr>
        <w:t>（以实际审批结果为准）</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lang w:eastAsia="zh-CN"/>
        </w:rPr>
        <w:t>项目建成后拟申请分割销售，自持销售比例为：自持不少于</w:t>
      </w:r>
      <w:r>
        <w:rPr>
          <w:rFonts w:hint="eastAsia" w:ascii="仿宋_GB2312" w:hAnsi="仿宋_GB2312" w:eastAsia="仿宋_GB2312" w:cs="仿宋_GB2312"/>
          <w:color w:val="auto"/>
          <w:spacing w:val="-6"/>
          <w:kern w:val="0"/>
          <w:sz w:val="32"/>
          <w:szCs w:val="32"/>
          <w:highlight w:val="none"/>
          <w:lang w:val="en-US" w:eastAsia="zh-CN"/>
        </w:rPr>
        <w:t>20%，销售不大于80%。</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项目相关情况符合国家《产业结构调整指导目录》、《中山市“三线一单”生态环境分区管控方案》、《中山市涉挥发性有机物项目环保管理规定》。改造后</w:t>
      </w:r>
      <w:bookmarkStart w:id="0" w:name="_GoBack"/>
      <w:bookmarkEnd w:id="0"/>
      <w:r>
        <w:rPr>
          <w:rFonts w:hint="eastAsia" w:ascii="仿宋_GB2312" w:hAnsi="仿宋_GB2312" w:eastAsia="仿宋_GB2312" w:cs="仿宋_GB2312"/>
          <w:color w:val="auto"/>
          <w:spacing w:val="-6"/>
          <w:kern w:val="0"/>
          <w:sz w:val="32"/>
          <w:szCs w:val="32"/>
          <w:highlight w:val="none"/>
          <w:u w:val="none"/>
          <w:lang w:val="en-US" w:eastAsia="zh-CN"/>
        </w:rPr>
        <w:t>厂区总</w:t>
      </w:r>
      <w:r>
        <w:rPr>
          <w:rFonts w:hint="eastAsia" w:ascii="仿宋_GB2312" w:hAnsi="仿宋_GB2312" w:eastAsia="仿宋_GB2312" w:cs="仿宋_GB2312"/>
          <w:color w:val="auto"/>
          <w:spacing w:val="-6"/>
          <w:kern w:val="0"/>
          <w:sz w:val="32"/>
          <w:szCs w:val="32"/>
          <w:highlight w:val="none"/>
          <w:u w:val="none"/>
          <w:lang w:eastAsia="zh-CN"/>
        </w:rPr>
        <w:t>年产值将达到</w:t>
      </w:r>
      <w:r>
        <w:rPr>
          <w:rFonts w:hint="eastAsia" w:ascii="仿宋_GB2312" w:hAnsi="仿宋_GB2312" w:eastAsia="仿宋_GB2312" w:cs="仿宋_GB2312"/>
          <w:color w:val="auto"/>
          <w:spacing w:val="-6"/>
          <w:kern w:val="0"/>
          <w:sz w:val="32"/>
          <w:szCs w:val="32"/>
          <w:highlight w:val="none"/>
          <w:u w:val="none"/>
          <w:lang w:val="en-US" w:eastAsia="zh-CN"/>
        </w:rPr>
        <w:t>70亿</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约2058.8</w:t>
      </w:r>
      <w:r>
        <w:rPr>
          <w:rFonts w:hint="eastAsia" w:ascii="仿宋_GB2312" w:hAnsi="仿宋_GB2312" w:eastAsia="仿宋_GB2312" w:cs="仿宋_GB2312"/>
          <w:color w:val="auto"/>
          <w:spacing w:val="-6"/>
          <w:kern w:val="0"/>
          <w:sz w:val="32"/>
          <w:szCs w:val="32"/>
          <w:highlight w:val="none"/>
          <w:u w:val="none"/>
          <w:lang w:eastAsia="zh-CN"/>
        </w:rPr>
        <w:t>万元/亩），年税收将达到1</w:t>
      </w:r>
      <w:r>
        <w:rPr>
          <w:rFonts w:hint="eastAsia" w:ascii="仿宋_GB2312" w:hAnsi="仿宋_GB2312" w:eastAsia="仿宋_GB2312" w:cs="仿宋_GB2312"/>
          <w:color w:val="auto"/>
          <w:spacing w:val="-6"/>
          <w:kern w:val="0"/>
          <w:sz w:val="32"/>
          <w:szCs w:val="32"/>
          <w:highlight w:val="none"/>
          <w:u w:val="none"/>
          <w:lang w:val="en-US" w:eastAsia="zh-CN"/>
        </w:rPr>
        <w:t>.3亿</w:t>
      </w:r>
      <w:r>
        <w:rPr>
          <w:rFonts w:hint="eastAsia" w:ascii="仿宋_GB2312" w:hAnsi="仿宋_GB2312" w:eastAsia="仿宋_GB2312" w:cs="仿宋_GB2312"/>
          <w:color w:val="auto"/>
          <w:spacing w:val="-6"/>
          <w:kern w:val="0"/>
          <w:sz w:val="32"/>
          <w:szCs w:val="32"/>
          <w:highlight w:val="none"/>
          <w:u w:val="none"/>
          <w:lang w:eastAsia="zh-CN"/>
        </w:rPr>
        <w:t>元（折合</w:t>
      </w:r>
      <w:r>
        <w:rPr>
          <w:rFonts w:hint="eastAsia" w:ascii="仿宋_GB2312" w:hAnsi="仿宋_GB2312" w:eastAsia="仿宋_GB2312" w:cs="仿宋_GB2312"/>
          <w:color w:val="auto"/>
          <w:spacing w:val="-6"/>
          <w:kern w:val="0"/>
          <w:sz w:val="32"/>
          <w:szCs w:val="32"/>
          <w:highlight w:val="none"/>
          <w:u w:val="none"/>
          <w:lang w:val="en-US" w:eastAsia="zh-CN"/>
        </w:rPr>
        <w:t>约38.2</w:t>
      </w:r>
      <w:r>
        <w:rPr>
          <w:rFonts w:hint="eastAsia" w:ascii="仿宋_GB2312" w:hAnsi="仿宋_GB2312" w:eastAsia="仿宋_GB2312" w:cs="仿宋_GB2312"/>
          <w:color w:val="auto"/>
          <w:spacing w:val="-6"/>
          <w:kern w:val="0"/>
          <w:sz w:val="32"/>
          <w:szCs w:val="32"/>
          <w:highlight w:val="none"/>
          <w:u w:val="none"/>
          <w:lang w:eastAsia="zh-CN"/>
        </w:rPr>
        <w:t>万元/亩）。</w:t>
      </w:r>
    </w:p>
    <w:p>
      <w:pPr>
        <w:ind w:firstLine="616" w:firstLineChars="200"/>
        <w:rPr>
          <w:rFonts w:hint="eastAsia" w:ascii="仿宋" w:hAnsi="仿宋" w:eastAsia="仿宋" w:cs="仿宋"/>
          <w:sz w:val="28"/>
          <w:szCs w:val="28"/>
          <w:highlight w:val="none"/>
        </w:rPr>
      </w:pPr>
      <w:r>
        <w:rPr>
          <w:rFonts w:hint="eastAsia" w:ascii="黑体" w:hAnsi="黑体" w:eastAsia="黑体" w:cs="黑体"/>
          <w:color w:val="auto"/>
          <w:spacing w:val="-6"/>
          <w:kern w:val="0"/>
          <w:sz w:val="32"/>
          <w:szCs w:val="32"/>
          <w:highlight w:val="none"/>
          <w:lang w:eastAsia="zh-CN"/>
        </w:rPr>
        <w:t>四、资金筹措</w:t>
      </w:r>
    </w:p>
    <w:p>
      <w:pPr>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项目改造成本</w:t>
      </w:r>
      <w:r>
        <w:rPr>
          <w:rFonts w:hint="eastAsia" w:ascii="仿宋_GB2312" w:hAnsi="仿宋_GB2312" w:eastAsia="仿宋_GB2312" w:cs="仿宋_GB2312"/>
          <w:color w:val="auto"/>
          <w:spacing w:val="-6"/>
          <w:kern w:val="0"/>
          <w:sz w:val="32"/>
          <w:szCs w:val="32"/>
          <w:highlight w:val="none"/>
          <w:u w:val="none"/>
          <w:lang w:val="en-US" w:eastAsia="zh-CN"/>
        </w:rPr>
        <w:t>约</w:t>
      </w:r>
      <w:r>
        <w:rPr>
          <w:rFonts w:hint="eastAsia" w:ascii="仿宋_GB2312" w:hAnsi="仿宋_GB2312" w:eastAsia="仿宋_GB2312" w:cs="仿宋_GB2312"/>
          <w:color w:val="auto"/>
          <w:spacing w:val="-6"/>
          <w:kern w:val="0"/>
          <w:sz w:val="32"/>
          <w:szCs w:val="32"/>
          <w:highlight w:val="none"/>
          <w:u w:val="none"/>
          <w:lang w:eastAsia="zh-CN"/>
        </w:rPr>
        <w:t>为</w:t>
      </w:r>
      <w:r>
        <w:rPr>
          <w:rFonts w:hint="eastAsia" w:ascii="仿宋_GB2312" w:hAnsi="仿宋_GB2312" w:eastAsia="仿宋_GB2312" w:cs="仿宋_GB2312"/>
          <w:color w:val="auto"/>
          <w:spacing w:val="-6"/>
          <w:kern w:val="0"/>
          <w:sz w:val="32"/>
          <w:szCs w:val="32"/>
          <w:highlight w:val="none"/>
          <w:u w:val="none"/>
          <w:lang w:val="en-US" w:eastAsia="zh-CN"/>
        </w:rPr>
        <w:t>83871</w:t>
      </w:r>
      <w:r>
        <w:rPr>
          <w:rFonts w:hint="eastAsia" w:ascii="仿宋_GB2312" w:hAnsi="仿宋_GB2312" w:eastAsia="仿宋_GB2312" w:cs="仿宋_GB2312"/>
          <w:color w:val="auto"/>
          <w:spacing w:val="-6"/>
          <w:kern w:val="0"/>
          <w:sz w:val="32"/>
          <w:szCs w:val="32"/>
          <w:highlight w:val="none"/>
          <w:u w:val="none"/>
          <w:lang w:eastAsia="zh-CN"/>
        </w:rPr>
        <w:t>万元，由改造主体拟投入资金</w:t>
      </w:r>
      <w:r>
        <w:rPr>
          <w:rFonts w:hint="eastAsia" w:ascii="仿宋_GB2312" w:hAnsi="仿宋_GB2312" w:eastAsia="仿宋_GB2312" w:cs="仿宋_GB2312"/>
          <w:color w:val="auto"/>
          <w:spacing w:val="-6"/>
          <w:kern w:val="0"/>
          <w:sz w:val="32"/>
          <w:szCs w:val="32"/>
          <w:highlight w:val="none"/>
          <w:u w:val="none"/>
          <w:lang w:val="en-US" w:eastAsia="zh-CN"/>
        </w:rPr>
        <w:t>83871</w:t>
      </w:r>
      <w:r>
        <w:rPr>
          <w:rFonts w:hint="eastAsia" w:ascii="仿宋_GB2312" w:hAnsi="仿宋_GB2312" w:eastAsia="仿宋_GB2312" w:cs="仿宋_GB2312"/>
          <w:color w:val="auto"/>
          <w:spacing w:val="-6"/>
          <w:kern w:val="0"/>
          <w:sz w:val="32"/>
          <w:szCs w:val="32"/>
          <w:highlight w:val="none"/>
          <w:u w:val="none"/>
          <w:lang w:eastAsia="zh-CN"/>
        </w:rPr>
        <w:t>万元，其中自有资金</w:t>
      </w:r>
      <w:r>
        <w:rPr>
          <w:rFonts w:hint="eastAsia" w:ascii="仿宋_GB2312" w:hAnsi="仿宋_GB2312" w:eastAsia="仿宋_GB2312" w:cs="仿宋_GB2312"/>
          <w:color w:val="auto"/>
          <w:spacing w:val="-6"/>
          <w:kern w:val="0"/>
          <w:sz w:val="32"/>
          <w:szCs w:val="32"/>
          <w:highlight w:val="none"/>
          <w:u w:val="none"/>
          <w:lang w:val="en-US" w:eastAsia="zh-CN"/>
        </w:rPr>
        <w:t>83871</w:t>
      </w:r>
      <w:r>
        <w:rPr>
          <w:rFonts w:hint="eastAsia" w:ascii="仿宋_GB2312" w:hAnsi="仿宋_GB2312" w:eastAsia="仿宋_GB2312" w:cs="仿宋_GB2312"/>
          <w:color w:val="auto"/>
          <w:spacing w:val="-6"/>
          <w:kern w:val="0"/>
          <w:sz w:val="32"/>
          <w:szCs w:val="32"/>
          <w:highlight w:val="none"/>
          <w:u w:val="none"/>
          <w:lang w:eastAsia="zh-CN"/>
        </w:rPr>
        <w:t>万元。</w:t>
      </w:r>
    </w:p>
    <w:p>
      <w:pPr>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lang w:eastAsia="zh-CN"/>
        </w:rPr>
        <w:t>五、开发时序</w:t>
      </w:r>
    </w:p>
    <w:p>
      <w:pPr>
        <w:spacing w:line="574" w:lineRule="exact"/>
        <w:ind w:firstLine="592"/>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eastAsia="zh-CN"/>
        </w:rPr>
        <w:t>项目建设周期为</w:t>
      </w:r>
      <w:r>
        <w:rPr>
          <w:rFonts w:hint="eastAsia" w:ascii="仿宋_GB2312" w:hAnsi="仿宋_GB2312" w:eastAsia="仿宋_GB2312" w:cs="仿宋_GB2312"/>
          <w:color w:val="auto"/>
          <w:spacing w:val="-6"/>
          <w:kern w:val="0"/>
          <w:sz w:val="32"/>
          <w:szCs w:val="32"/>
          <w:highlight w:val="none"/>
          <w:u w:val="none"/>
          <w:lang w:val="en-US" w:eastAsia="zh-CN"/>
        </w:rPr>
        <w:t>5</w:t>
      </w:r>
      <w:r>
        <w:rPr>
          <w:rFonts w:hint="eastAsia" w:ascii="仿宋_GB2312" w:hAnsi="仿宋_GB2312" w:eastAsia="仿宋_GB2312" w:cs="仿宋_GB2312"/>
          <w:color w:val="auto"/>
          <w:spacing w:val="-6"/>
          <w:kern w:val="0"/>
          <w:sz w:val="32"/>
          <w:szCs w:val="32"/>
          <w:highlight w:val="none"/>
          <w:u w:val="none"/>
          <w:lang w:eastAsia="zh-CN"/>
        </w:rPr>
        <w:t>年，</w:t>
      </w:r>
      <w:r>
        <w:rPr>
          <w:rFonts w:hint="eastAsia" w:ascii="仿宋_GB2312" w:hAnsi="仿宋_GB2312" w:eastAsia="仿宋_GB2312" w:cs="仿宋_GB2312"/>
          <w:color w:val="auto"/>
          <w:spacing w:val="-6"/>
          <w:kern w:val="0"/>
          <w:sz w:val="32"/>
          <w:szCs w:val="32"/>
          <w:highlight w:val="none"/>
          <w:u w:val="none"/>
          <w:lang w:val="en-US" w:eastAsia="zh-CN"/>
        </w:rPr>
        <w:t>2025年</w:t>
      </w:r>
      <w:r>
        <w:rPr>
          <w:rFonts w:hint="default" w:ascii="仿宋_GB2312" w:hAnsi="仿宋_GB2312" w:eastAsia="仿宋_GB2312" w:cs="仿宋_GB2312"/>
          <w:color w:val="auto"/>
          <w:spacing w:val="-6"/>
          <w:kern w:val="0"/>
          <w:sz w:val="32"/>
          <w:szCs w:val="32"/>
          <w:highlight w:val="none"/>
          <w:u w:val="none"/>
          <w:lang w:val="en-US" w:eastAsia="zh-CN"/>
        </w:rPr>
        <w:t>5</w:t>
      </w:r>
      <w:r>
        <w:rPr>
          <w:rFonts w:hint="eastAsia" w:ascii="仿宋_GB2312" w:hAnsi="仿宋_GB2312" w:eastAsia="仿宋_GB2312" w:cs="仿宋_GB2312"/>
          <w:color w:val="auto"/>
          <w:spacing w:val="-6"/>
          <w:kern w:val="0"/>
          <w:sz w:val="32"/>
          <w:szCs w:val="32"/>
          <w:highlight w:val="none"/>
          <w:u w:val="none"/>
          <w:lang w:val="en-US" w:eastAsia="zh-CN"/>
        </w:rPr>
        <w:t>月31日前开工，2030年5月31日前竣工，具体分期实施计划以项目实际建设为准。</w:t>
      </w:r>
    </w:p>
    <w:p>
      <w:pPr>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lang w:eastAsia="zh-CN"/>
        </w:rPr>
        <w:t>六、</w:t>
      </w:r>
      <w:r>
        <w:rPr>
          <w:rFonts w:hint="eastAsia" w:ascii="黑体" w:hAnsi="黑体" w:eastAsia="黑体" w:cs="黑体"/>
          <w:color w:val="auto"/>
          <w:spacing w:val="-6"/>
          <w:kern w:val="0"/>
          <w:sz w:val="32"/>
          <w:szCs w:val="32"/>
          <w:highlight w:val="none"/>
        </w:rPr>
        <w:t>实施监管</w:t>
      </w:r>
    </w:p>
    <w:p>
      <w:pPr>
        <w:ind w:firstLine="616" w:firstLineChars="200"/>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详见南头镇与改造主体签订的项目实施监管协议。</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default" w:ascii="仿宋" w:hAnsi="仿宋" w:eastAsia="仿宋" w:cs="仿宋"/>
          <w:sz w:val="28"/>
          <w:szCs w:val="28"/>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YWQxMzYyYTY3MDllZTljMzU3NzZiNjU5NjJjOTEifQ=="/>
  </w:docVars>
  <w:rsids>
    <w:rsidRoot w:val="00000000"/>
    <w:rsid w:val="00D265BA"/>
    <w:rsid w:val="011731DC"/>
    <w:rsid w:val="0C24314A"/>
    <w:rsid w:val="118B7B13"/>
    <w:rsid w:val="1278296C"/>
    <w:rsid w:val="17666F6F"/>
    <w:rsid w:val="213A1B47"/>
    <w:rsid w:val="27806BAA"/>
    <w:rsid w:val="29CF16E1"/>
    <w:rsid w:val="2A7A21AE"/>
    <w:rsid w:val="2AEF17CB"/>
    <w:rsid w:val="2BC959B5"/>
    <w:rsid w:val="2D365318"/>
    <w:rsid w:val="348E2278"/>
    <w:rsid w:val="36474D8D"/>
    <w:rsid w:val="38080A88"/>
    <w:rsid w:val="44174B03"/>
    <w:rsid w:val="460232BA"/>
    <w:rsid w:val="4D55468D"/>
    <w:rsid w:val="500041D6"/>
    <w:rsid w:val="52AC2364"/>
    <w:rsid w:val="54BA2F48"/>
    <w:rsid w:val="5DC42461"/>
    <w:rsid w:val="5EFD120B"/>
    <w:rsid w:val="5F401781"/>
    <w:rsid w:val="60C8740B"/>
    <w:rsid w:val="620265BF"/>
    <w:rsid w:val="6A0F1953"/>
    <w:rsid w:val="6DBB1DDA"/>
    <w:rsid w:val="701D41BA"/>
    <w:rsid w:val="71CC0DE6"/>
    <w:rsid w:val="760A0BFC"/>
    <w:rsid w:val="7EEC1358"/>
    <w:rsid w:val="7F105F6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oc 5"/>
    <w:basedOn w:val="1"/>
    <w:next w:val="1"/>
    <w:qFormat/>
    <w:uiPriority w:val="0"/>
    <w:pPr>
      <w:ind w:left="1680"/>
    </w:pPr>
  </w:style>
  <w:style w:type="paragraph" w:styleId="4">
    <w:name w:val="Body Text Indent 2"/>
    <w:basedOn w:val="1"/>
    <w:qFormat/>
    <w:uiPriority w:val="0"/>
    <w:pPr>
      <w:ind w:firstLine="480"/>
    </w:pPr>
    <w:rPr>
      <w:rFonts w:ascii="宋体" w:hAnsi="宋体"/>
      <w:color w:val="00000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2117</Words>
  <Characters>2453</Characters>
  <Paragraphs>26</Paragraphs>
  <TotalTime>30</TotalTime>
  <ScaleCrop>false</ScaleCrop>
  <LinksUpToDate>false</LinksUpToDate>
  <CharactersWithSpaces>2458</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2023-10-25T01:08:00Z</dcterms:created>
  <dc:creator>2210132C</dc:creator>
  <cp:lastModifiedBy>高玉德</cp:lastModifiedBy>
  <dcterms:modified xsi:type="dcterms:W3CDTF">2024-08-15T03:40:50Z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D50BCCC6CA164E5DA22B9606AB8A27A1</vt:lpwstr>
  </property>
  <property fmtid="{D5CDD505-2E9C-101B-9397-08002B2CF9AE}" pid="3" name="KSOProductBuildVer">
    <vt:lpwstr>2052-11.8.2.11718</vt:lpwstr>
  </property>
</Properties>
</file>