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1"/>
        </w:numPr>
        <w:jc w:val="center"/>
        <w:rPr>
          <w:rFonts w:hint="eastAsia" w:ascii="公文小标宋简" w:hAnsi="公文小标宋简" w:eastAsia="公文小标宋简" w:cs="公文小标宋简"/>
          <w:sz w:val="44"/>
          <w:szCs w:val="44"/>
        </w:rPr>
      </w:pPr>
      <w:bookmarkStart w:id="4" w:name="_GoBack"/>
      <w:bookmarkEnd w:id="4"/>
      <w:r>
        <w:rPr>
          <w:rFonts w:hint="eastAsia" w:ascii="公文小标宋简" w:hAnsi="公文小标宋简" w:eastAsia="公文小标宋简" w:cs="公文小标宋简"/>
          <w:sz w:val="44"/>
          <w:szCs w:val="44"/>
        </w:rPr>
        <w:t xml:space="preserve"> 相关说明</w:t>
      </w:r>
    </w:p>
    <w:p>
      <w:pPr>
        <w:pStyle w:val="2"/>
        <w:numPr>
          <w:ilvl w:val="0"/>
          <w:numId w:val="0"/>
        </w:numPr>
      </w:pPr>
    </w:p>
    <w:p/>
    <w:p>
      <w:pPr>
        <w:ind w:firstLine="642" w:firstLineChars="200"/>
        <w:rPr>
          <w:rFonts w:hint="eastAsia" w:ascii="黑体" w:hAnsi="黑体" w:eastAsia="黑体" w:cs="黑体"/>
          <w:b/>
          <w:bCs/>
          <w:sz w:val="32"/>
          <w:szCs w:val="32"/>
        </w:rPr>
      </w:pPr>
      <w:r>
        <w:rPr>
          <w:rFonts w:hint="eastAsia" w:ascii="黑体" w:hAnsi="黑体" w:eastAsia="黑体" w:cs="黑体"/>
          <w:b/>
          <w:kern w:val="0"/>
          <w:sz w:val="32"/>
          <w:szCs w:val="32"/>
        </w:rPr>
        <w:t>一、</w:t>
      </w:r>
      <w:r>
        <w:rPr>
          <w:rFonts w:hint="eastAsia" w:ascii="黑体" w:hAnsi="黑体" w:eastAsia="黑体" w:cs="黑体"/>
          <w:b/>
          <w:bCs/>
          <w:sz w:val="32"/>
          <w:szCs w:val="32"/>
        </w:rPr>
        <w:t>一般公共预算支出的说明</w:t>
      </w:r>
    </w:p>
    <w:p>
      <w:pPr>
        <w:pStyle w:val="8"/>
        <w:adjustRightInd w:val="0"/>
        <w:spacing w:line="480" w:lineRule="auto"/>
        <w:ind w:firstLine="640"/>
        <w:rPr>
          <w:rFonts w:hint="default" w:ascii="仿宋_GB2312" w:hAnsi="仿宋_GB2312" w:eastAsia="仿宋_GB2312" w:cs="仿宋_GB2312"/>
          <w:color w:val="auto"/>
          <w:kern w:val="0"/>
          <w:sz w:val="32"/>
          <w:szCs w:val="32"/>
          <w:lang w:val="en-US" w:eastAsia="zh-CN" w:bidi="ar-SA"/>
        </w:rPr>
      </w:pPr>
      <w:r>
        <w:rPr>
          <w:rFonts w:hint="eastAsia" w:ascii="仿宋_GB2312" w:hAnsi="仿宋_GB2312" w:eastAsia="仿宋_GB2312" w:cs="仿宋_GB2312"/>
          <w:color w:val="auto"/>
          <w:kern w:val="0"/>
          <w:sz w:val="32"/>
          <w:szCs w:val="32"/>
          <w:lang w:val="en-US" w:eastAsia="zh-CN" w:bidi="ar-SA"/>
        </w:rPr>
        <w:t>2023年</w:t>
      </w:r>
      <w:bookmarkStart w:id="0" w:name="PO_part2General"/>
      <w:r>
        <w:rPr>
          <w:rFonts w:hint="eastAsia" w:ascii="仿宋_GB2312" w:hAnsi="仿宋_GB2312" w:eastAsia="仿宋_GB2312" w:cs="仿宋_GB2312"/>
          <w:color w:val="auto"/>
          <w:kern w:val="0"/>
          <w:sz w:val="32"/>
          <w:szCs w:val="32"/>
          <w:lang w:val="en-US" w:eastAsia="zh-CN" w:bidi="ar-SA"/>
        </w:rPr>
        <w:t>一般公共</w:t>
      </w:r>
      <w:bookmarkEnd w:id="0"/>
      <w:r>
        <w:rPr>
          <w:rFonts w:hint="eastAsia" w:ascii="仿宋_GB2312" w:hAnsi="仿宋_GB2312" w:eastAsia="仿宋_GB2312" w:cs="仿宋_GB2312"/>
          <w:color w:val="auto"/>
          <w:kern w:val="0"/>
          <w:sz w:val="32"/>
          <w:szCs w:val="32"/>
          <w:lang w:val="en-US" w:eastAsia="zh-CN" w:bidi="ar-SA"/>
        </w:rPr>
        <w:t>预算支出101567万元，比上年减少15153万元，比减13%，主要原因是根据收入安排支出。</w:t>
      </w:r>
    </w:p>
    <w:p>
      <w:pPr>
        <w:ind w:firstLine="642" w:firstLineChars="200"/>
        <w:rPr>
          <w:rFonts w:hint="eastAsia" w:ascii="黑体" w:hAnsi="黑体" w:eastAsia="黑体" w:cs="黑体"/>
          <w:b/>
          <w:kern w:val="0"/>
          <w:sz w:val="32"/>
          <w:szCs w:val="32"/>
        </w:rPr>
      </w:pPr>
      <w:r>
        <w:rPr>
          <w:rFonts w:hint="eastAsia" w:ascii="黑体" w:hAnsi="黑体" w:eastAsia="黑体" w:cs="黑体"/>
          <w:b/>
          <w:kern w:val="0"/>
          <w:sz w:val="32"/>
          <w:szCs w:val="32"/>
        </w:rPr>
        <w:t>二、举借债务情况</w:t>
      </w:r>
    </w:p>
    <w:p>
      <w:pPr>
        <w:ind w:firstLine="629" w:firstLineChars="196"/>
        <w:rPr>
          <w:rFonts w:hint="eastAsia" w:ascii="仿宋_GB2312" w:hAnsi="仿宋_GB2312" w:eastAsia="仿宋_GB2312" w:cs="仿宋_GB2312"/>
          <w:color w:val="auto"/>
          <w:kern w:val="0"/>
          <w:sz w:val="32"/>
          <w:szCs w:val="32"/>
          <w:lang w:val="en-US" w:eastAsia="zh-CN" w:bidi="ar-SA"/>
        </w:rPr>
      </w:pPr>
      <w:r>
        <w:rPr>
          <w:rFonts w:hint="eastAsia" w:ascii="楷体" w:hAnsi="楷体" w:eastAsia="楷体" w:cs="楷体"/>
          <w:b/>
          <w:color w:val="auto"/>
          <w:kern w:val="0"/>
          <w:sz w:val="32"/>
          <w:szCs w:val="32"/>
        </w:rPr>
        <w:t>（一）地方政府债券转贷情况</w:t>
      </w:r>
      <w:bookmarkStart w:id="1" w:name="PO_part3A1DebtIssue"/>
      <w:r>
        <w:rPr>
          <w:rFonts w:hint="eastAsia" w:ascii="楷体" w:hAnsi="楷体" w:eastAsia="楷体" w:cs="楷体"/>
          <w:b/>
          <w:color w:val="auto"/>
          <w:kern w:val="0"/>
          <w:sz w:val="32"/>
          <w:szCs w:val="32"/>
          <w:lang w:eastAsia="zh-CN"/>
        </w:rPr>
        <w:t>。</w:t>
      </w:r>
      <w:r>
        <w:rPr>
          <w:rFonts w:hint="eastAsia" w:ascii="仿宋_GB2312" w:hAnsi="仿宋_GB2312" w:eastAsia="仿宋_GB2312" w:cs="仿宋_GB2312"/>
          <w:color w:val="auto"/>
          <w:kern w:val="0"/>
          <w:sz w:val="32"/>
          <w:szCs w:val="32"/>
          <w:lang w:val="en-US" w:eastAsia="zh-CN" w:bidi="ar-SA"/>
        </w:rPr>
        <w:t>2023年转贷地方政府债券59868.7万元。其中：一般债券906.9万元，属于再融资债券；专项债券58961.8万元，包括新增专项债券52421.8万元、再融资债券6540万元。</w:t>
      </w:r>
      <w:bookmarkEnd w:id="1"/>
    </w:p>
    <w:p>
      <w:pPr>
        <w:numPr>
          <w:ilvl w:val="0"/>
          <w:numId w:val="2"/>
        </w:numPr>
        <w:ind w:firstLine="570"/>
        <w:rPr>
          <w:rFonts w:hint="eastAsia" w:ascii="仿宋_GB2312" w:hAnsi="仿宋_GB2312" w:eastAsia="仿宋_GB2312" w:cs="仿宋_GB2312"/>
          <w:color w:val="auto"/>
          <w:kern w:val="0"/>
          <w:sz w:val="32"/>
          <w:szCs w:val="32"/>
          <w:lang w:val="en-US" w:eastAsia="zh-CN" w:bidi="ar-SA"/>
        </w:rPr>
      </w:pPr>
      <w:r>
        <w:rPr>
          <w:rFonts w:hint="eastAsia" w:ascii="楷体" w:hAnsi="楷体" w:eastAsia="楷体" w:cs="楷体"/>
          <w:b/>
          <w:color w:val="auto"/>
          <w:kern w:val="0"/>
          <w:sz w:val="32"/>
          <w:szCs w:val="32"/>
        </w:rPr>
        <w:t>地方政府债务还本付息情况</w:t>
      </w:r>
      <w:bookmarkStart w:id="2" w:name="PO_part3A1DebtRepay"/>
      <w:r>
        <w:rPr>
          <w:rFonts w:hint="eastAsia" w:ascii="楷体" w:hAnsi="楷体" w:eastAsia="楷体" w:cs="楷体"/>
          <w:b/>
          <w:color w:val="auto"/>
          <w:kern w:val="0"/>
          <w:sz w:val="32"/>
          <w:szCs w:val="32"/>
          <w:lang w:eastAsia="zh-CN"/>
        </w:rPr>
        <w:t>。</w:t>
      </w:r>
      <w:r>
        <w:rPr>
          <w:rFonts w:hint="eastAsia" w:ascii="仿宋_GB2312" w:hAnsi="仿宋_GB2312" w:eastAsia="仿宋_GB2312" w:cs="仿宋_GB2312"/>
          <w:color w:val="auto"/>
          <w:kern w:val="0"/>
          <w:sz w:val="32"/>
          <w:szCs w:val="32"/>
          <w:lang w:val="en-US" w:eastAsia="zh-CN" w:bidi="ar-SA"/>
        </w:rPr>
        <w:t xml:space="preserve">2023年偿还地方政府债券本金7446.9万元，其中：一般债券还本906.9万元，专项债券还本6540万元；支付地方政府债券利息2657.2万元，其中：一般债券利息216.2万元，专项债券利息2441万元。 </w:t>
      </w:r>
      <w:bookmarkEnd w:id="2"/>
    </w:p>
    <w:p>
      <w:pPr>
        <w:pStyle w:val="2"/>
        <w:ind w:left="0" w:leftChars="0" w:firstLine="642" w:firstLineChars="200"/>
        <w:rPr>
          <w:rFonts w:hint="default" w:ascii="仿宋_GB2312" w:hAnsi="仿宋_GB2312" w:eastAsia="仿宋_GB2312" w:cs="仿宋_GB2312"/>
          <w:color w:val="0000FF"/>
          <w:kern w:val="0"/>
          <w:sz w:val="32"/>
          <w:szCs w:val="32"/>
          <w:lang w:val="en-US" w:eastAsia="zh-CN" w:bidi="ar-SA"/>
        </w:rPr>
      </w:pPr>
      <w:r>
        <w:rPr>
          <w:rFonts w:hint="eastAsia" w:ascii="楷体" w:hAnsi="楷体" w:eastAsia="楷体" w:cs="楷体"/>
          <w:b/>
          <w:color w:val="auto"/>
          <w:kern w:val="0"/>
          <w:sz w:val="32"/>
          <w:szCs w:val="32"/>
          <w:lang w:val="en-US" w:eastAsia="zh-CN" w:bidi="ar-SA"/>
        </w:rPr>
        <w:t>（三）债券资金使用安排。</w:t>
      </w:r>
      <w:r>
        <w:rPr>
          <w:rFonts w:hint="eastAsia" w:ascii="仿宋_GB2312" w:hAnsi="仿宋_GB2312" w:eastAsia="仿宋_GB2312" w:cs="仿宋_GB2312"/>
          <w:color w:val="auto"/>
          <w:kern w:val="0"/>
          <w:sz w:val="32"/>
          <w:szCs w:val="32"/>
          <w:lang w:val="en-US" w:eastAsia="zh-CN" w:bidi="ar-SA"/>
        </w:rPr>
        <w:t>2023年新增专项债券共计52421.8万元，分别用于粤港澳大湾区智能家电集聚区基础设施建设项目、广东省中山市城镇雨污分流管网改造项目、广东省中山市农村生活污水治理攻坚项目、岐水流芳--中山市岭南特色美丽乡村基础设施建设项目、广东省中山市农业稳产高产保供基地基础设施建设项目、广东省中山市黄圃镇城乡融合发展基础设施提升工程，资金已全部拨付完毕，另退回2022年度中山市黄圃人民医院旧住院大楼专业科室建设工程专项债券资金48.2万元给市财政。本年新增专项债券均采取半年付息、到期一次还本进行偿还。</w:t>
      </w:r>
    </w:p>
    <w:p>
      <w:pPr>
        <w:ind w:firstLine="642" w:firstLineChars="200"/>
        <w:rPr>
          <w:rFonts w:hint="eastAsia" w:ascii="黑体" w:hAnsi="黑体" w:eastAsia="黑体" w:cs="黑体"/>
          <w:b/>
          <w:kern w:val="0"/>
          <w:sz w:val="32"/>
          <w:szCs w:val="32"/>
        </w:rPr>
      </w:pPr>
      <w:r>
        <w:rPr>
          <w:rFonts w:hint="eastAsia" w:ascii="黑体" w:hAnsi="黑体" w:eastAsia="黑体" w:cs="黑体"/>
          <w:b/>
          <w:kern w:val="0"/>
          <w:sz w:val="32"/>
          <w:szCs w:val="32"/>
        </w:rPr>
        <w:t>三、一般公共预算“三公”经费决算执行情况</w:t>
      </w:r>
    </w:p>
    <w:p>
      <w:pPr>
        <w:spacing w:line="336" w:lineRule="auto"/>
        <w:ind w:firstLine="640" w:firstLineChars="200"/>
        <w:rPr>
          <w:rFonts w:hint="eastAsia" w:ascii="仿宋_GB2312" w:hAnsi="仿宋_GB2312" w:eastAsia="仿宋_GB2312"/>
          <w:sz w:val="32"/>
        </w:rPr>
      </w:pPr>
      <w:r>
        <w:rPr>
          <w:rFonts w:hint="eastAsia" w:ascii="仿宋_GB2312" w:hAnsi="仿宋_GB2312" w:eastAsia="仿宋_GB2312"/>
          <w:sz w:val="32"/>
          <w:lang w:val="en-US" w:eastAsia="zh-CN"/>
        </w:rPr>
        <w:t>2023年“三公</w:t>
      </w:r>
      <w:r>
        <w:rPr>
          <w:rFonts w:hint="eastAsia" w:ascii="仿宋_GB2312" w:hAnsi="仿宋_GB2312" w:eastAsia="仿宋_GB2312" w:cs="仿宋_GB2312"/>
          <w:b/>
          <w:kern w:val="0"/>
          <w:sz w:val="32"/>
          <w:szCs w:val="32"/>
        </w:rPr>
        <w:t>”</w:t>
      </w:r>
      <w:r>
        <w:rPr>
          <w:rFonts w:hint="eastAsia" w:ascii="仿宋_GB2312" w:hAnsi="仿宋_GB2312" w:eastAsia="仿宋_GB2312"/>
          <w:sz w:val="32"/>
          <w:lang w:val="en-US" w:eastAsia="zh-CN"/>
        </w:rPr>
        <w:t>经费年初预算187</w:t>
      </w:r>
      <w:r>
        <w:rPr>
          <w:rFonts w:hint="eastAsia" w:ascii="仿宋_GB2312" w:hAnsi="仿宋_GB2312" w:eastAsia="仿宋_GB2312"/>
          <w:sz w:val="32"/>
        </w:rPr>
        <w:t>.</w:t>
      </w:r>
      <w:r>
        <w:rPr>
          <w:rFonts w:hint="eastAsia" w:ascii="仿宋_GB2312" w:hAnsi="仿宋_GB2312" w:eastAsia="仿宋_GB2312"/>
          <w:sz w:val="32"/>
          <w:lang w:val="en-US" w:eastAsia="zh-CN"/>
        </w:rPr>
        <w:t>09万元，预算数调整为177.55万元，</w:t>
      </w:r>
      <w:r>
        <w:rPr>
          <w:rFonts w:hint="eastAsia" w:ascii="仿宋_GB2312" w:hAnsi="仿宋_GB2312" w:eastAsia="仿宋_GB2312"/>
          <w:sz w:val="32"/>
        </w:rPr>
        <w:t>202</w:t>
      </w:r>
      <w:r>
        <w:rPr>
          <w:rFonts w:hint="eastAsia" w:ascii="仿宋_GB2312" w:hAnsi="仿宋_GB2312" w:eastAsia="仿宋_GB2312"/>
          <w:sz w:val="32"/>
          <w:lang w:val="en-US" w:eastAsia="zh-CN"/>
        </w:rPr>
        <w:t>3</w:t>
      </w:r>
      <w:r>
        <w:rPr>
          <w:rFonts w:hint="eastAsia" w:ascii="仿宋_GB2312" w:hAnsi="仿宋_GB2312" w:eastAsia="仿宋_GB2312"/>
          <w:sz w:val="32"/>
        </w:rPr>
        <w:t>年</w:t>
      </w:r>
      <w:r>
        <w:rPr>
          <w:rFonts w:hint="eastAsia" w:ascii="仿宋_GB2312" w:hAnsi="仿宋_GB2312" w:eastAsia="仿宋_GB2312"/>
          <w:sz w:val="32"/>
          <w:lang w:val="en-US" w:eastAsia="zh-CN"/>
        </w:rPr>
        <w:t>“三公”经费</w:t>
      </w:r>
      <w:r>
        <w:rPr>
          <w:rFonts w:hint="eastAsia" w:ascii="仿宋_GB2312" w:hAnsi="仿宋_GB2312" w:eastAsia="仿宋_GB2312"/>
          <w:sz w:val="32"/>
        </w:rPr>
        <w:t>决算数</w:t>
      </w:r>
      <w:r>
        <w:rPr>
          <w:rFonts w:hint="eastAsia" w:ascii="仿宋_GB2312" w:hAnsi="仿宋_GB2312" w:eastAsia="仿宋_GB2312"/>
          <w:sz w:val="32"/>
          <w:lang w:val="en-US" w:eastAsia="zh-CN"/>
        </w:rPr>
        <w:t>137.69</w:t>
      </w:r>
      <w:r>
        <w:rPr>
          <w:rFonts w:hint="eastAsia" w:ascii="仿宋_GB2312" w:hAnsi="仿宋_GB2312" w:eastAsia="仿宋_GB2312"/>
          <w:sz w:val="32"/>
        </w:rPr>
        <w:t>万元，较</w:t>
      </w:r>
      <w:r>
        <w:rPr>
          <w:rFonts w:hint="eastAsia" w:ascii="仿宋_GB2312" w:hAnsi="仿宋_GB2312" w:eastAsia="仿宋_GB2312"/>
          <w:sz w:val="32"/>
          <w:lang w:val="en-US" w:eastAsia="zh-CN"/>
        </w:rPr>
        <w:t>上年减少6.09万</w:t>
      </w:r>
      <w:r>
        <w:rPr>
          <w:rFonts w:hint="eastAsia" w:ascii="仿宋_GB2312" w:hAnsi="仿宋_GB2312" w:eastAsia="仿宋_GB2312" w:cs="Times New Roman"/>
          <w:sz w:val="32"/>
          <w:lang w:val="en-US" w:eastAsia="zh-CN"/>
        </w:rPr>
        <w:t>元，经费减少</w:t>
      </w:r>
      <w:r>
        <w:rPr>
          <w:rFonts w:hint="eastAsia" w:ascii="仿宋_GB2312" w:hAnsi="仿宋_GB2312" w:eastAsia="仿宋_GB2312" w:cs="Times New Roman"/>
          <w:sz w:val="32"/>
        </w:rPr>
        <w:t>主要是严控经费支</w:t>
      </w:r>
      <w:r>
        <w:rPr>
          <w:rFonts w:hint="eastAsia" w:ascii="仿宋_GB2312" w:hAnsi="仿宋_GB2312" w:eastAsia="仿宋_GB2312" w:cs="Times New Roman"/>
          <w:sz w:val="32"/>
          <w:lang w:val="en-US" w:eastAsia="zh-CN"/>
        </w:rPr>
        <w:t>出，落实厉行节约</w:t>
      </w:r>
      <w:r>
        <w:rPr>
          <w:rFonts w:hint="eastAsia" w:ascii="仿宋_GB2312" w:hAnsi="仿宋_GB2312" w:eastAsia="仿宋_GB2312" w:cs="Times New Roman"/>
          <w:sz w:val="32"/>
        </w:rPr>
        <w:t>。其中：</w:t>
      </w:r>
      <w:r>
        <w:rPr>
          <w:rFonts w:hint="eastAsia" w:ascii="仿宋_GB2312" w:hAnsi="仿宋_GB2312" w:eastAsia="仿宋_GB2312" w:cs="Times New Roman"/>
          <w:sz w:val="32"/>
          <w:lang w:val="en-US" w:eastAsia="zh-CN"/>
        </w:rPr>
        <w:t>因公出国（境）费用增加0.49万元、</w:t>
      </w:r>
      <w:r>
        <w:rPr>
          <w:rFonts w:hint="eastAsia" w:ascii="仿宋_GB2312" w:hAnsi="仿宋_GB2312" w:eastAsia="仿宋_GB2312" w:cs="Times New Roman"/>
          <w:sz w:val="32"/>
        </w:rPr>
        <w:t>公务接待</w:t>
      </w:r>
      <w:r>
        <w:rPr>
          <w:rFonts w:hint="eastAsia" w:ascii="仿宋_GB2312" w:hAnsi="仿宋_GB2312" w:eastAsia="仿宋_GB2312" w:cs="Times New Roman"/>
          <w:sz w:val="32"/>
          <w:lang w:val="en-US" w:eastAsia="zh-CN"/>
        </w:rPr>
        <w:t>减少0.05万元</w:t>
      </w:r>
      <w:r>
        <w:rPr>
          <w:rFonts w:hint="eastAsia" w:ascii="仿宋_GB2312" w:hAnsi="仿宋_GB2312" w:eastAsia="仿宋_GB2312" w:cs="Times New Roman"/>
          <w:sz w:val="32"/>
          <w:lang w:eastAsia="zh-CN"/>
        </w:rPr>
        <w:t>、</w:t>
      </w:r>
      <w:r>
        <w:rPr>
          <w:rFonts w:hint="eastAsia" w:ascii="仿宋_GB2312" w:hAnsi="仿宋_GB2312" w:eastAsia="仿宋_GB2312" w:cs="Times New Roman"/>
          <w:sz w:val="32"/>
        </w:rPr>
        <w:t>公务用车</w:t>
      </w:r>
      <w:r>
        <w:rPr>
          <w:rFonts w:hint="eastAsia" w:ascii="仿宋_GB2312" w:hAnsi="仿宋_GB2312" w:eastAsia="仿宋_GB2312" w:cs="Times New Roman"/>
          <w:sz w:val="32"/>
          <w:lang w:val="en-US" w:eastAsia="zh-CN"/>
        </w:rPr>
        <w:t>购置减少0.91万元（仅公安分局购置）、</w:t>
      </w:r>
      <w:r>
        <w:rPr>
          <w:rFonts w:hint="eastAsia" w:ascii="仿宋_GB2312" w:hAnsi="仿宋_GB2312" w:eastAsia="仿宋_GB2312" w:cs="Times New Roman"/>
          <w:sz w:val="32"/>
        </w:rPr>
        <w:t>公务用车运行维护费</w:t>
      </w:r>
      <w:r>
        <w:rPr>
          <w:rFonts w:hint="eastAsia" w:ascii="仿宋_GB2312" w:hAnsi="仿宋_GB2312" w:eastAsia="仿宋_GB2312" w:cs="Times New Roman"/>
          <w:sz w:val="32"/>
          <w:lang w:val="en-US" w:eastAsia="zh-CN"/>
        </w:rPr>
        <w:t>减少5.62万元</w:t>
      </w:r>
      <w:r>
        <w:rPr>
          <w:rFonts w:hint="eastAsia" w:ascii="仿宋_GB2312" w:hAnsi="仿宋_GB2312" w:eastAsia="仿宋_GB2312" w:cs="Times New Roman"/>
          <w:sz w:val="32"/>
        </w:rPr>
        <w:t>，</w:t>
      </w:r>
    </w:p>
    <w:p>
      <w:pPr>
        <w:ind w:firstLine="642" w:firstLineChars="200"/>
        <w:rPr>
          <w:rFonts w:hint="eastAsia" w:ascii="黑体" w:hAnsi="黑体" w:eastAsia="黑体" w:cs="黑体"/>
          <w:b/>
          <w:kern w:val="0"/>
          <w:sz w:val="32"/>
          <w:szCs w:val="32"/>
        </w:rPr>
      </w:pPr>
      <w:r>
        <w:rPr>
          <w:rFonts w:hint="eastAsia" w:ascii="黑体" w:hAnsi="黑体" w:eastAsia="黑体" w:cs="黑体"/>
          <w:b/>
          <w:kern w:val="0"/>
          <w:sz w:val="32"/>
          <w:szCs w:val="32"/>
        </w:rPr>
        <w:t>四、预算绩效工作推进情况</w:t>
      </w:r>
    </w:p>
    <w:p>
      <w:pPr>
        <w:ind w:firstLine="640" w:firstLineChars="200"/>
        <w:rPr>
          <w:rFonts w:hint="eastAsia" w:ascii="仿宋_GB2312" w:hAnsi="仿宋_GB2312" w:eastAsia="仿宋_GB2312"/>
          <w:color w:val="auto"/>
          <w:sz w:val="32"/>
          <w:lang w:val="en-US" w:eastAsia="zh-CN"/>
        </w:rPr>
      </w:pPr>
      <w:bookmarkStart w:id="3" w:name="PO_part3A1Achie"/>
      <w:r>
        <w:rPr>
          <w:rFonts w:hint="eastAsia" w:ascii="仿宋_GB2312" w:hAnsi="仿宋_GB2312" w:eastAsia="仿宋_GB2312" w:cs="仿宋_GB2312"/>
          <w:b w:val="0"/>
          <w:bCs w:val="0"/>
          <w:color w:val="000000"/>
          <w:sz w:val="32"/>
          <w:szCs w:val="32"/>
          <w:highlight w:val="none"/>
          <w:lang w:val="en-US" w:eastAsia="zh-CN"/>
        </w:rPr>
        <w:t>一是累计</w:t>
      </w:r>
      <w:r>
        <w:rPr>
          <w:rFonts w:hint="eastAsia" w:ascii="仿宋_GB2312" w:hAnsi="仿宋_GB2312" w:eastAsia="仿宋_GB2312" w:cs="仿宋_GB2312"/>
          <w:color w:val="000000"/>
          <w:sz w:val="32"/>
          <w:szCs w:val="32"/>
          <w:highlight w:val="none"/>
          <w:lang w:val="en-US" w:eastAsia="zh-CN"/>
        </w:rPr>
        <w:t>完成了25个项目的事前绩效评审工作，送审金额共135,598.19万元，审定金额共121,514.65万元，节约财政资金14,083.54万元，核减率为10.4%。二是抽取了两个重点项目开展事中绩效监控评审，</w:t>
      </w:r>
      <w:r>
        <w:rPr>
          <w:rFonts w:hint="eastAsia" w:ascii="Times New Roman" w:hAnsi="Times New Roman" w:eastAsia="仿宋_GB2312" w:cs="Times New Roman"/>
          <w:spacing w:val="0"/>
          <w:kern w:val="0"/>
          <w:sz w:val="32"/>
          <w:szCs w:val="32"/>
          <w:lang w:val="en-US" w:eastAsia="zh-CN"/>
        </w:rPr>
        <w:t>为预算单位给出了一系列优化管理的建议。</w:t>
      </w:r>
      <w:r>
        <w:rPr>
          <w:rFonts w:hint="eastAsia" w:ascii="仿宋_GB2312" w:hAnsi="仿宋_GB2312" w:eastAsia="仿宋_GB2312" w:cs="仿宋_GB2312"/>
          <w:color w:val="000000"/>
          <w:sz w:val="32"/>
          <w:szCs w:val="32"/>
          <w:highlight w:val="none"/>
          <w:lang w:val="en-US" w:eastAsia="zh-CN"/>
        </w:rPr>
        <w:t>三是有序开展2022年度财政支出项目事后绩效评价工作。其中，自评项目223个，覆盖所有预算单位，涉及预算金额10.8739亿元；自评核查项目35个，涉及预算单位27个，涉及预算金额1.3302亿元；重点绩效评价项目8个，涉及预算单位7个，预算资金3148.73万元；选取4个部门开展整体绩效评价。所有事后绩效评价结果作为2024年度安排预算和改进管理的重要依据。</w:t>
      </w:r>
      <w:bookmarkEnd w:id="3"/>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00007A87" w:usb1="80000000" w:usb2="00000008"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公文小标宋简">
    <w:altName w:val="方正小标宋_GBK"/>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楷体">
    <w:altName w:val="方正楷体_GBK"/>
    <w:panose1 w:val="02010609060101010101"/>
    <w:charset w:val="86"/>
    <w:family w:val="auto"/>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楷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15A74CA"/>
    <w:multiLevelType w:val="singleLevel"/>
    <w:tmpl w:val="D15A74CA"/>
    <w:lvl w:ilvl="0" w:tentative="0">
      <w:start w:val="3"/>
      <w:numFmt w:val="chineseCounting"/>
      <w:suff w:val="space"/>
      <w:lvlText w:val="第%1部分"/>
      <w:lvlJc w:val="left"/>
      <w:rPr>
        <w:rFonts w:hint="eastAsia"/>
      </w:rPr>
    </w:lvl>
  </w:abstractNum>
  <w:abstractNum w:abstractNumId="1">
    <w:nsid w:val="5DB65CB2"/>
    <w:multiLevelType w:val="singleLevel"/>
    <w:tmpl w:val="5DB65CB2"/>
    <w:lvl w:ilvl="0" w:tentative="0">
      <w:start w:val="2"/>
      <w:numFmt w:val="chineseCounting"/>
      <w:suff w:val="nothing"/>
      <w:lvlText w:val="（%1）"/>
      <w:lvlJc w:val="left"/>
      <w:rPr>
        <w:b/>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2BE47264"/>
    <w:rsid w:val="000C4B6B"/>
    <w:rsid w:val="001605A3"/>
    <w:rsid w:val="001A4EE9"/>
    <w:rsid w:val="002402A8"/>
    <w:rsid w:val="00294084"/>
    <w:rsid w:val="00341FEA"/>
    <w:rsid w:val="00384E4E"/>
    <w:rsid w:val="003D4A4C"/>
    <w:rsid w:val="00405D7A"/>
    <w:rsid w:val="00480974"/>
    <w:rsid w:val="004B0A3B"/>
    <w:rsid w:val="005B7136"/>
    <w:rsid w:val="00762EC4"/>
    <w:rsid w:val="009405D1"/>
    <w:rsid w:val="00A60BA0"/>
    <w:rsid w:val="00A9019B"/>
    <w:rsid w:val="00AF2654"/>
    <w:rsid w:val="00BF7419"/>
    <w:rsid w:val="00CF0304"/>
    <w:rsid w:val="00D77DCB"/>
    <w:rsid w:val="00DD3445"/>
    <w:rsid w:val="00E249C9"/>
    <w:rsid w:val="00EF1470"/>
    <w:rsid w:val="00F81B9C"/>
    <w:rsid w:val="01DD669F"/>
    <w:rsid w:val="028C6A4E"/>
    <w:rsid w:val="04633ABF"/>
    <w:rsid w:val="0491658C"/>
    <w:rsid w:val="05417230"/>
    <w:rsid w:val="072566FA"/>
    <w:rsid w:val="08D13765"/>
    <w:rsid w:val="0A622FA3"/>
    <w:rsid w:val="0CB37C85"/>
    <w:rsid w:val="0CBE38F4"/>
    <w:rsid w:val="0DB25485"/>
    <w:rsid w:val="0E43752E"/>
    <w:rsid w:val="125350E2"/>
    <w:rsid w:val="128C03DF"/>
    <w:rsid w:val="146743FE"/>
    <w:rsid w:val="14B17D49"/>
    <w:rsid w:val="195A781A"/>
    <w:rsid w:val="19F67CB4"/>
    <w:rsid w:val="1A7E70BB"/>
    <w:rsid w:val="1C6D08DE"/>
    <w:rsid w:val="1E771E56"/>
    <w:rsid w:val="2037730F"/>
    <w:rsid w:val="217462CB"/>
    <w:rsid w:val="217E28FF"/>
    <w:rsid w:val="25294378"/>
    <w:rsid w:val="259B6A23"/>
    <w:rsid w:val="288F4CFA"/>
    <w:rsid w:val="28F40C28"/>
    <w:rsid w:val="2BE47264"/>
    <w:rsid w:val="2C187C7A"/>
    <w:rsid w:val="2CB86656"/>
    <w:rsid w:val="2E4812F3"/>
    <w:rsid w:val="2E4F1791"/>
    <w:rsid w:val="2EB018F0"/>
    <w:rsid w:val="2EF43343"/>
    <w:rsid w:val="32624DB0"/>
    <w:rsid w:val="33401FA5"/>
    <w:rsid w:val="337802AE"/>
    <w:rsid w:val="364936E2"/>
    <w:rsid w:val="36DE2E4D"/>
    <w:rsid w:val="3AEB650C"/>
    <w:rsid w:val="3C232CEC"/>
    <w:rsid w:val="3F057A5A"/>
    <w:rsid w:val="3F6E2720"/>
    <w:rsid w:val="41F8770C"/>
    <w:rsid w:val="44FC113D"/>
    <w:rsid w:val="458E03DD"/>
    <w:rsid w:val="48156E38"/>
    <w:rsid w:val="489F6B33"/>
    <w:rsid w:val="491C1A79"/>
    <w:rsid w:val="4B3146DE"/>
    <w:rsid w:val="4D5521EB"/>
    <w:rsid w:val="4E334B14"/>
    <w:rsid w:val="539362D7"/>
    <w:rsid w:val="540049E6"/>
    <w:rsid w:val="55571448"/>
    <w:rsid w:val="56764C4A"/>
    <w:rsid w:val="56974E4F"/>
    <w:rsid w:val="57F13854"/>
    <w:rsid w:val="591D60A2"/>
    <w:rsid w:val="5B8A2D39"/>
    <w:rsid w:val="5BE921DB"/>
    <w:rsid w:val="5E2B1B3B"/>
    <w:rsid w:val="603F5F81"/>
    <w:rsid w:val="614A71B0"/>
    <w:rsid w:val="636536BC"/>
    <w:rsid w:val="63C17E4E"/>
    <w:rsid w:val="65A81B22"/>
    <w:rsid w:val="6875257A"/>
    <w:rsid w:val="68CB0910"/>
    <w:rsid w:val="693A54C3"/>
    <w:rsid w:val="6A9D5F2D"/>
    <w:rsid w:val="72985992"/>
    <w:rsid w:val="74C904C2"/>
    <w:rsid w:val="75003D12"/>
    <w:rsid w:val="766161B5"/>
    <w:rsid w:val="77533E58"/>
    <w:rsid w:val="7A1B1B91"/>
    <w:rsid w:val="7AEB3697"/>
    <w:rsid w:val="7D357CBF"/>
    <w:rsid w:val="7DE50A3D"/>
    <w:rsid w:val="7E04472F"/>
    <w:rsid w:val="7E1D1BAF"/>
    <w:rsid w:val="95F7480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customStyle="1" w:styleId="2">
    <w:name w:val="table of authorities1"/>
    <w:basedOn w:val="1"/>
    <w:next w:val="1"/>
    <w:qFormat/>
    <w:uiPriority w:val="0"/>
    <w:pPr>
      <w:ind w:left="420" w:leftChars="200"/>
    </w:pPr>
    <w:rPr>
      <w:rFonts w:ascii="Times New Roman" w:hAnsi="Times New Roman"/>
    </w:rPr>
  </w:style>
  <w:style w:type="paragraph" w:styleId="3">
    <w:name w:val="Date"/>
    <w:basedOn w:val="1"/>
    <w:next w:val="1"/>
    <w:link w:val="11"/>
    <w:qFormat/>
    <w:uiPriority w:val="0"/>
    <w:pPr>
      <w:ind w:left="100" w:leftChars="2500"/>
    </w:pPr>
  </w:style>
  <w:style w:type="paragraph" w:styleId="4">
    <w:name w:val="footer"/>
    <w:basedOn w:val="1"/>
    <w:link w:val="10"/>
    <w:qFormat/>
    <w:uiPriority w:val="0"/>
    <w:pPr>
      <w:tabs>
        <w:tab w:val="center" w:pos="4153"/>
        <w:tab w:val="right" w:pos="8306"/>
      </w:tabs>
      <w:snapToGrid w:val="0"/>
      <w:jc w:val="left"/>
    </w:pPr>
    <w:rPr>
      <w:sz w:val="18"/>
      <w:szCs w:val="18"/>
    </w:rPr>
  </w:style>
  <w:style w:type="paragraph" w:styleId="5">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customStyle="1" w:styleId="8">
    <w:name w:val="列表段落"/>
    <w:basedOn w:val="1"/>
    <w:qFormat/>
    <w:uiPriority w:val="99"/>
    <w:pPr>
      <w:ind w:firstLine="420" w:firstLineChars="200"/>
    </w:pPr>
    <w:rPr>
      <w:rFonts w:ascii="Calibri" w:hAnsi="Calibri" w:eastAsia="宋体" w:cs="Times New Roman"/>
    </w:rPr>
  </w:style>
  <w:style w:type="character" w:customStyle="1" w:styleId="9">
    <w:name w:val="页眉 Char"/>
    <w:basedOn w:val="7"/>
    <w:link w:val="5"/>
    <w:qFormat/>
    <w:uiPriority w:val="0"/>
    <w:rPr>
      <w:rFonts w:asciiTheme="minorHAnsi" w:hAnsiTheme="minorHAnsi" w:eastAsiaTheme="minorEastAsia" w:cstheme="minorBidi"/>
      <w:kern w:val="2"/>
      <w:sz w:val="18"/>
      <w:szCs w:val="18"/>
    </w:rPr>
  </w:style>
  <w:style w:type="character" w:customStyle="1" w:styleId="10">
    <w:name w:val="页脚 Char"/>
    <w:basedOn w:val="7"/>
    <w:link w:val="4"/>
    <w:qFormat/>
    <w:uiPriority w:val="0"/>
    <w:rPr>
      <w:rFonts w:asciiTheme="minorHAnsi" w:hAnsiTheme="minorHAnsi" w:eastAsiaTheme="minorEastAsia" w:cstheme="minorBidi"/>
      <w:kern w:val="2"/>
      <w:sz w:val="18"/>
      <w:szCs w:val="18"/>
    </w:rPr>
  </w:style>
  <w:style w:type="character" w:customStyle="1" w:styleId="11">
    <w:name w:val="日期 Char"/>
    <w:basedOn w:val="7"/>
    <w:link w:val="3"/>
    <w:qFormat/>
    <w:uiPriority w:val="0"/>
    <w:rPr>
      <w:rFonts w:asciiTheme="minorHAnsi" w:hAnsiTheme="minorHAnsi" w:eastAsiaTheme="minorEastAsia" w:cstheme="minorBidi"/>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市财政局</Company>
  <Pages>2</Pages>
  <Words>456</Words>
  <Characters>126</Characters>
  <Lines>1</Lines>
  <Paragraphs>1</Paragraphs>
  <TotalTime>1</TotalTime>
  <ScaleCrop>false</ScaleCrop>
  <LinksUpToDate>false</LinksUpToDate>
  <CharactersWithSpaces>581</CharactersWithSpaces>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2019-02-01T18:00:00Z</dcterms:created>
  <dc:creator>llh</dc:creator>
  <cp:lastModifiedBy>yy</cp:lastModifiedBy>
  <cp:lastPrinted>2023-02-21T18:25:00Z</cp:lastPrinted>
  <dcterms:modified xsi:type="dcterms:W3CDTF">2024-08-20T11:46:32Z</dcterms:modified>
  <dc:title>第三部分  相关说明</dc:title>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2052-11.8.2.9864</vt:lpwstr>
  </property>
  <property fmtid="{D5CDD505-2E9C-101B-9397-08002B2CF9AE}" pid="3" name="ICV">
    <vt:lpwstr>8C92D2D4EE624526BF1199EC0F7E060D</vt:lpwstr>
  </property>
</Properties>
</file>