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小标宋简体" w:cs="Times New Roman"/>
          <w:sz w:val="40"/>
          <w:szCs w:val="22"/>
          <w:highlight w:val="none"/>
          <w:lang w:eastAsia="zh-CN"/>
        </w:rPr>
      </w:pPr>
      <w:r>
        <w:rPr>
          <w:rFonts w:hint="default" w:ascii="Times New Roman" w:hAnsi="Times New Roman" w:eastAsia="黑体" w:cs="Times New Roman"/>
          <w:b w:val="0"/>
          <w:bCs w:val="0"/>
          <w:sz w:val="30"/>
          <w:szCs w:val="30"/>
        </w:rPr>
        <w:t>镇十</w:t>
      </w:r>
      <w:r>
        <w:rPr>
          <w:rFonts w:hint="default" w:ascii="Times New Roman" w:hAnsi="Times New Roman" w:eastAsia="黑体" w:cs="Times New Roman"/>
          <w:b w:val="0"/>
          <w:bCs w:val="0"/>
          <w:sz w:val="30"/>
          <w:szCs w:val="30"/>
          <w:lang w:eastAsia="zh-CN"/>
        </w:rPr>
        <w:t>七</w:t>
      </w:r>
      <w:r>
        <w:rPr>
          <w:rFonts w:hint="default" w:ascii="Times New Roman" w:hAnsi="Times New Roman" w:eastAsia="黑体" w:cs="Times New Roman"/>
          <w:b w:val="0"/>
          <w:bCs w:val="0"/>
          <w:sz w:val="30"/>
          <w:szCs w:val="30"/>
        </w:rPr>
        <w:t>届人大</w:t>
      </w:r>
      <w:r>
        <w:rPr>
          <w:rFonts w:hint="eastAsia" w:eastAsia="黑体" w:cs="Times New Roman"/>
          <w:b w:val="0"/>
          <w:bCs w:val="0"/>
          <w:sz w:val="30"/>
          <w:szCs w:val="30"/>
          <w:highlight w:val="none"/>
          <w:lang w:eastAsia="zh-CN"/>
        </w:rPr>
        <w:t>七</w:t>
      </w:r>
      <w:r>
        <w:rPr>
          <w:rFonts w:hint="default" w:ascii="Times New Roman" w:hAnsi="Times New Roman" w:eastAsia="黑体" w:cs="Times New Roman"/>
          <w:b w:val="0"/>
          <w:bCs w:val="0"/>
          <w:sz w:val="30"/>
          <w:szCs w:val="30"/>
          <w:highlight w:val="none"/>
        </w:rPr>
        <w:t>次会议文件</w:t>
      </w:r>
      <w:r>
        <w:rPr>
          <w:rFonts w:hint="default" w:ascii="Times New Roman" w:hAnsi="Times New Roman" w:eastAsia="黑体" w:cs="Times New Roman"/>
          <w:b w:val="0"/>
          <w:bCs w:val="0"/>
          <w:sz w:val="30"/>
          <w:szCs w:val="30"/>
          <w:highlight w:val="none"/>
          <w:lang w:val="en-US" w:eastAsia="zh-CN"/>
        </w:rPr>
        <w:t>（</w:t>
      </w:r>
      <w:r>
        <w:rPr>
          <w:rFonts w:hint="eastAsia" w:eastAsia="黑体" w:cs="Times New Roman"/>
          <w:b w:val="0"/>
          <w:bCs w:val="0"/>
          <w:sz w:val="30"/>
          <w:szCs w:val="30"/>
          <w:highlight w:val="none"/>
          <w:lang w:val="en-US" w:eastAsia="zh-CN"/>
        </w:rPr>
        <w:t>5</w:t>
      </w:r>
      <w:r>
        <w:rPr>
          <w:rFonts w:hint="default" w:ascii="Times New Roman" w:hAnsi="Times New Roman" w:eastAsia="黑体" w:cs="Times New Roman"/>
          <w:b w:val="0"/>
          <w:bCs w:val="0"/>
          <w:sz w:val="30"/>
          <w:szCs w:val="30"/>
          <w:highlight w:val="none"/>
          <w:lang w:val="en-US" w:eastAsia="zh-CN"/>
        </w:rPr>
        <w:t>）</w:t>
      </w:r>
    </w:p>
    <w:p>
      <w:pPr>
        <w:widowControl w:val="0"/>
        <w:wordWrap/>
        <w:adjustRightInd/>
        <w:snapToGrid/>
        <w:spacing w:line="240" w:lineRule="auto"/>
        <w:textAlignment w:val="auto"/>
        <w:rPr>
          <w:rFonts w:hint="default" w:ascii="Times New Roman" w:hAnsi="Times New Roman" w:eastAsia="黑体" w:cs="Times New Roman"/>
          <w:b w:val="0"/>
          <w:bCs w:val="0"/>
          <w:sz w:val="21"/>
          <w:szCs w:val="21"/>
        </w:rPr>
      </w:pPr>
    </w:p>
    <w:p>
      <w:pPr>
        <w:widowControl w:val="0"/>
        <w:wordWrap/>
        <w:adjustRightInd/>
        <w:snapToGrid/>
        <w:spacing w:line="240" w:lineRule="auto"/>
        <w:textAlignment w:val="auto"/>
        <w:rPr>
          <w:rFonts w:hint="default" w:ascii="Times New Roman" w:hAnsi="Times New Roman" w:eastAsia="黑体" w:cs="Times New Roman"/>
          <w:b w:val="0"/>
          <w:bCs w:val="0"/>
          <w:sz w:val="21"/>
          <w:szCs w:val="21"/>
        </w:rPr>
      </w:pP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方正小标宋简体" w:cs="Times New Roman"/>
          <w:kern w:val="18"/>
          <w:sz w:val="44"/>
          <w:szCs w:val="44"/>
        </w:rPr>
      </w:pPr>
      <w:r>
        <w:rPr>
          <w:rFonts w:hint="default" w:ascii="Times New Roman" w:hAnsi="Times New Roman" w:eastAsia="方正小标宋简体" w:cs="Times New Roman"/>
          <w:kern w:val="18"/>
          <w:sz w:val="44"/>
          <w:szCs w:val="44"/>
        </w:rPr>
        <w:t>黄圃镇</w:t>
      </w:r>
      <w:r>
        <w:rPr>
          <w:rFonts w:hint="default" w:ascii="Times New Roman" w:hAnsi="Times New Roman" w:eastAsia="方正小标宋简体" w:cs="Times New Roman"/>
          <w:kern w:val="18"/>
          <w:sz w:val="44"/>
          <w:szCs w:val="44"/>
          <w:lang w:eastAsia="zh-CN"/>
        </w:rPr>
        <w:t>2023</w:t>
      </w:r>
      <w:r>
        <w:rPr>
          <w:rFonts w:hint="default" w:ascii="Times New Roman" w:hAnsi="Times New Roman" w:eastAsia="方正小标宋简体" w:cs="Times New Roman"/>
          <w:kern w:val="18"/>
          <w:sz w:val="44"/>
          <w:szCs w:val="44"/>
        </w:rPr>
        <w:t>年财政预算执行情况和</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方正小标宋简体" w:cs="Times New Roman"/>
          <w:kern w:val="18"/>
          <w:sz w:val="44"/>
          <w:szCs w:val="44"/>
          <w:lang w:val="en-US" w:eastAsia="zh-CN"/>
        </w:rPr>
      </w:pPr>
      <w:r>
        <w:rPr>
          <w:rFonts w:hint="default" w:ascii="Times New Roman" w:hAnsi="Times New Roman" w:eastAsia="方正小标宋简体" w:cs="Times New Roman"/>
          <w:kern w:val="18"/>
          <w:sz w:val="44"/>
          <w:szCs w:val="44"/>
          <w:lang w:eastAsia="zh-CN"/>
        </w:rPr>
        <w:t>2024</w:t>
      </w:r>
      <w:r>
        <w:rPr>
          <w:rFonts w:hint="default" w:ascii="Times New Roman" w:hAnsi="Times New Roman" w:eastAsia="方正小标宋简体" w:cs="Times New Roman"/>
          <w:kern w:val="18"/>
          <w:sz w:val="44"/>
          <w:szCs w:val="44"/>
        </w:rPr>
        <w:t>年财政预算草案的报告</w:t>
      </w:r>
    </w:p>
    <w:p>
      <w:pPr>
        <w:pStyle w:val="8"/>
        <w:widowControl w:val="0"/>
        <w:spacing w:line="360" w:lineRule="auto"/>
        <w:ind w:firstLine="640"/>
        <w:rPr>
          <w:rFonts w:hint="eastAsia" w:ascii="仿宋_GB2312" w:eastAsia="仿宋_GB2312"/>
          <w:kern w:val="18"/>
          <w:sz w:val="32"/>
          <w:szCs w:val="32"/>
        </w:rPr>
      </w:pPr>
    </w:p>
    <w:p>
      <w:pPr>
        <w:pStyle w:val="8"/>
        <w:widowControl w:val="0"/>
        <w:spacing w:line="348" w:lineRule="auto"/>
        <w:jc w:val="center"/>
        <w:rPr>
          <w:rFonts w:hint="default" w:ascii="Times New Roman" w:hAnsi="Times New Roman" w:eastAsia="黑体" w:cs="Times New Roman"/>
          <w:kern w:val="18"/>
          <w:sz w:val="36"/>
          <w:szCs w:val="36"/>
        </w:rPr>
      </w:pPr>
      <w:r>
        <w:rPr>
          <w:rFonts w:hint="default" w:ascii="Times New Roman" w:hAnsi="Times New Roman" w:eastAsia="黑体" w:cs="Times New Roman"/>
          <w:kern w:val="18"/>
          <w:sz w:val="36"/>
          <w:szCs w:val="36"/>
        </w:rPr>
        <w:t>第一部分　</w:t>
      </w:r>
      <w:r>
        <w:rPr>
          <w:rFonts w:hint="default" w:ascii="Times New Roman" w:hAnsi="Times New Roman" w:eastAsia="黑体" w:cs="Times New Roman"/>
          <w:kern w:val="18"/>
          <w:sz w:val="36"/>
          <w:szCs w:val="36"/>
          <w:lang w:eastAsia="zh-CN"/>
        </w:rPr>
        <w:t>2023</w:t>
      </w:r>
      <w:r>
        <w:rPr>
          <w:rFonts w:hint="default" w:ascii="Times New Roman" w:hAnsi="Times New Roman" w:eastAsia="黑体" w:cs="Times New Roman"/>
          <w:kern w:val="18"/>
          <w:sz w:val="36"/>
          <w:szCs w:val="36"/>
        </w:rPr>
        <w:t>年财政预算执行情况</w:t>
      </w:r>
    </w:p>
    <w:p>
      <w:pPr>
        <w:pStyle w:val="8"/>
        <w:widowControl w:val="0"/>
        <w:spacing w:line="348" w:lineRule="auto"/>
        <w:jc w:val="center"/>
        <w:rPr>
          <w:rFonts w:hint="eastAsia" w:ascii="黑体" w:eastAsia="黑体"/>
          <w:kern w:val="18"/>
        </w:rPr>
      </w:pP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b w:val="0"/>
          <w:bCs w:val="0"/>
          <w:color w:val="auto"/>
          <w:spacing w:val="0"/>
          <w:sz w:val="32"/>
          <w:szCs w:val="32"/>
          <w:highlight w:val="none"/>
          <w:lang w:val="en-US" w:eastAsia="zh-CN"/>
        </w:rPr>
      </w:pPr>
      <w:r>
        <w:rPr>
          <w:rFonts w:hint="default" w:ascii="Times New Roman" w:hAnsi="Times New Roman" w:eastAsia="仿宋_GB2312" w:cs="Times New Roman"/>
          <w:color w:val="auto"/>
          <w:spacing w:val="0"/>
          <w:kern w:val="18"/>
          <w:sz w:val="32"/>
          <w:szCs w:val="32"/>
          <w:highlight w:val="none"/>
          <w:lang w:eastAsia="zh-CN"/>
        </w:rPr>
        <w:t>2023</w:t>
      </w:r>
      <w:r>
        <w:rPr>
          <w:rFonts w:hint="default" w:ascii="Times New Roman" w:hAnsi="Times New Roman" w:eastAsia="仿宋_GB2312" w:cs="Times New Roman"/>
          <w:color w:val="auto"/>
          <w:spacing w:val="0"/>
          <w:kern w:val="18"/>
          <w:sz w:val="32"/>
          <w:szCs w:val="32"/>
          <w:highlight w:val="none"/>
        </w:rPr>
        <w:t>年财政工作在镇党委、政府的</w:t>
      </w:r>
      <w:r>
        <w:rPr>
          <w:rFonts w:hint="default" w:ascii="Times New Roman" w:hAnsi="Times New Roman" w:eastAsia="仿宋_GB2312" w:cs="Times New Roman"/>
          <w:b w:val="0"/>
          <w:bCs w:val="0"/>
          <w:color w:val="auto"/>
          <w:spacing w:val="0"/>
          <w:sz w:val="32"/>
          <w:szCs w:val="32"/>
          <w:highlight w:val="none"/>
        </w:rPr>
        <w:t>坚强</w:t>
      </w:r>
      <w:r>
        <w:rPr>
          <w:rFonts w:hint="default" w:ascii="Times New Roman" w:hAnsi="Times New Roman" w:eastAsia="仿宋_GB2312" w:cs="Times New Roman"/>
          <w:color w:val="auto"/>
          <w:spacing w:val="0"/>
          <w:kern w:val="18"/>
          <w:sz w:val="32"/>
          <w:szCs w:val="32"/>
          <w:highlight w:val="none"/>
        </w:rPr>
        <w:t>领导下，在人大、纪检监察</w:t>
      </w:r>
      <w:r>
        <w:rPr>
          <w:rFonts w:hint="default" w:ascii="Times New Roman" w:hAnsi="Times New Roman" w:eastAsia="仿宋_GB2312" w:cs="Times New Roman"/>
          <w:b w:val="0"/>
          <w:bCs w:val="0"/>
          <w:color w:val="auto"/>
          <w:spacing w:val="0"/>
          <w:sz w:val="32"/>
          <w:szCs w:val="32"/>
          <w:highlight w:val="none"/>
          <w:lang w:val="en-US" w:eastAsia="zh-CN"/>
        </w:rPr>
        <w:t>部门的监督下，紧紧围绕</w:t>
      </w:r>
      <w:r>
        <w:rPr>
          <w:rFonts w:hint="eastAsia" w:eastAsia="仿宋_GB2312" w:cs="Times New Roman"/>
          <w:b w:val="0"/>
          <w:bCs w:val="0"/>
          <w:color w:val="auto"/>
          <w:spacing w:val="0"/>
          <w:sz w:val="32"/>
          <w:szCs w:val="32"/>
          <w:highlight w:val="none"/>
          <w:lang w:val="en-US" w:eastAsia="zh-CN"/>
        </w:rPr>
        <w:t>镇</w:t>
      </w:r>
      <w:r>
        <w:rPr>
          <w:rFonts w:hint="default" w:ascii="Times New Roman" w:hAnsi="Times New Roman" w:eastAsia="仿宋_GB2312" w:cs="Times New Roman"/>
          <w:b w:val="0"/>
          <w:bCs w:val="0"/>
          <w:color w:val="auto"/>
          <w:spacing w:val="0"/>
          <w:sz w:val="32"/>
          <w:szCs w:val="32"/>
          <w:highlight w:val="none"/>
          <w:lang w:val="en-US" w:eastAsia="zh-CN"/>
        </w:rPr>
        <w:t>党委</w:t>
      </w:r>
      <w:r>
        <w:rPr>
          <w:rFonts w:hint="eastAsia"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政府中心工作，主动适应新形势发展变化，积极探索新思路，不断深化财政预算体制改革，优化财政收支结构，保障</w:t>
      </w:r>
      <w:r>
        <w:rPr>
          <w:rFonts w:hint="default" w:ascii="Times New Roman" w:hAnsi="Times New Roman" w:eastAsia="仿宋_GB2312" w:cs="Times New Roman"/>
          <w:b w:val="0"/>
          <w:color w:val="auto"/>
          <w:spacing w:val="0"/>
          <w:kern w:val="18"/>
          <w:sz w:val="32"/>
          <w:szCs w:val="32"/>
          <w:highlight w:val="none"/>
          <w:lang w:val="en-US" w:eastAsia="zh-CN" w:bidi="ar-SA"/>
        </w:rPr>
        <w:t>社会经济各项事业发展支出，</w:t>
      </w:r>
      <w:r>
        <w:rPr>
          <w:rFonts w:hint="default" w:ascii="Times New Roman" w:hAnsi="Times New Roman" w:eastAsia="仿宋_GB2312" w:cs="Times New Roman"/>
          <w:b w:val="0"/>
          <w:bCs w:val="0"/>
          <w:color w:val="auto"/>
          <w:spacing w:val="0"/>
          <w:sz w:val="32"/>
          <w:szCs w:val="32"/>
          <w:highlight w:val="none"/>
          <w:lang w:val="en-US" w:eastAsia="zh-CN"/>
        </w:rPr>
        <w:t>全年预算执行总体平稳。</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黑体" w:cs="Times New Roman"/>
          <w:bCs/>
          <w:color w:val="auto"/>
          <w:spacing w:val="0"/>
          <w:kern w:val="18"/>
          <w:sz w:val="32"/>
          <w:szCs w:val="32"/>
          <w:highlight w:val="none"/>
          <w:u w:val="none"/>
        </w:rPr>
      </w:pPr>
      <w:r>
        <w:rPr>
          <w:rFonts w:hint="default" w:ascii="Times New Roman" w:hAnsi="Times New Roman" w:eastAsia="黑体" w:cs="Times New Roman"/>
          <w:bCs/>
          <w:color w:val="auto"/>
          <w:spacing w:val="0"/>
          <w:kern w:val="18"/>
          <w:sz w:val="32"/>
          <w:szCs w:val="32"/>
          <w:highlight w:val="none"/>
          <w:u w:val="none"/>
        </w:rPr>
        <w:t>一、</w:t>
      </w:r>
      <w:r>
        <w:rPr>
          <w:rFonts w:hint="default" w:ascii="Times New Roman" w:hAnsi="Times New Roman" w:eastAsia="黑体" w:cs="Times New Roman"/>
          <w:bCs/>
          <w:color w:val="auto"/>
          <w:spacing w:val="0"/>
          <w:kern w:val="18"/>
          <w:sz w:val="32"/>
          <w:szCs w:val="32"/>
          <w:highlight w:val="none"/>
          <w:u w:val="none"/>
          <w:lang w:eastAsia="zh-CN"/>
        </w:rPr>
        <w:t>2023</w:t>
      </w:r>
      <w:r>
        <w:rPr>
          <w:rFonts w:hint="default" w:ascii="Times New Roman" w:hAnsi="Times New Roman" w:eastAsia="黑体" w:cs="Times New Roman"/>
          <w:bCs/>
          <w:color w:val="auto"/>
          <w:spacing w:val="0"/>
          <w:kern w:val="18"/>
          <w:sz w:val="32"/>
          <w:szCs w:val="32"/>
          <w:highlight w:val="none"/>
          <w:u w:val="none"/>
        </w:rPr>
        <w:t>年财政收入情况</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rPr>
      </w:pPr>
      <w:r>
        <w:rPr>
          <w:rFonts w:hint="default" w:ascii="Times New Roman" w:hAnsi="Times New Roman" w:eastAsia="仿宋_GB2312" w:cs="Times New Roman"/>
          <w:color w:val="auto"/>
          <w:spacing w:val="0"/>
          <w:kern w:val="18"/>
          <w:sz w:val="32"/>
          <w:szCs w:val="32"/>
          <w:highlight w:val="none"/>
          <w:lang w:eastAsia="zh-CN"/>
        </w:rPr>
        <w:t>2</w:t>
      </w:r>
      <w:r>
        <w:rPr>
          <w:rFonts w:hint="default" w:ascii="Times New Roman" w:hAnsi="Times New Roman" w:eastAsia="仿宋_GB2312" w:cs="Times New Roman"/>
          <w:b w:val="0"/>
          <w:bCs w:val="0"/>
          <w:color w:val="auto"/>
          <w:spacing w:val="0"/>
          <w:sz w:val="32"/>
          <w:szCs w:val="32"/>
          <w:highlight w:val="none"/>
          <w:lang w:val="en-US" w:eastAsia="zh-CN"/>
        </w:rPr>
        <w:t>023年我镇实现财政收入252,793万元，完成年度预算的92%。加以前年度结余（转）600万元，实际财政可支配收入253,393万元。其中：</w:t>
      </w:r>
      <w:r>
        <w:rPr>
          <w:rFonts w:hint="default" w:ascii="Times New Roman" w:hAnsi="Times New Roman" w:eastAsia="仿宋_GB2312" w:cs="Times New Roman"/>
          <w:color w:val="auto"/>
          <w:spacing w:val="0"/>
          <w:kern w:val="18"/>
          <w:sz w:val="32"/>
          <w:szCs w:val="32"/>
          <w:highlight w:val="none"/>
        </w:rPr>
        <w:t xml:space="preserve"> </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kern w:val="18"/>
          <w:sz w:val="32"/>
          <w:szCs w:val="32"/>
          <w:highlight w:val="none"/>
          <w:lang w:eastAsia="zh-CN"/>
        </w:rPr>
        <w:t>（</w:t>
      </w:r>
      <w:r>
        <w:rPr>
          <w:rFonts w:hint="default" w:ascii="Times New Roman" w:hAnsi="Times New Roman" w:eastAsia="仿宋_GB2312" w:cs="Times New Roman"/>
          <w:color w:val="auto"/>
          <w:spacing w:val="0"/>
          <w:kern w:val="18"/>
          <w:sz w:val="32"/>
          <w:szCs w:val="32"/>
          <w:highlight w:val="none"/>
          <w:lang w:val="en-US" w:eastAsia="zh-CN"/>
        </w:rPr>
        <w:t>一</w:t>
      </w:r>
      <w:r>
        <w:rPr>
          <w:rFonts w:hint="default" w:ascii="Times New Roman" w:hAnsi="Times New Roman" w:eastAsia="仿宋_GB2312" w:cs="Times New Roman"/>
          <w:color w:val="auto"/>
          <w:spacing w:val="0"/>
          <w:kern w:val="18"/>
          <w:sz w:val="32"/>
          <w:szCs w:val="32"/>
          <w:highlight w:val="none"/>
          <w:lang w:eastAsia="zh-CN"/>
        </w:rPr>
        <w:t>）</w:t>
      </w:r>
      <w:r>
        <w:rPr>
          <w:rFonts w:hint="default" w:ascii="Times New Roman" w:hAnsi="Times New Roman" w:eastAsia="仿宋_GB2312" w:cs="Times New Roman"/>
          <w:color w:val="auto"/>
          <w:spacing w:val="0"/>
          <w:kern w:val="18"/>
          <w:sz w:val="32"/>
          <w:szCs w:val="32"/>
          <w:highlight w:val="none"/>
        </w:rPr>
        <w:t>一般公共预算收入</w:t>
      </w:r>
      <w:r>
        <w:rPr>
          <w:rFonts w:hint="default" w:ascii="Times New Roman" w:hAnsi="Times New Roman" w:eastAsia="仿宋_GB2312" w:cs="Times New Roman"/>
          <w:color w:val="auto"/>
          <w:spacing w:val="0"/>
          <w:kern w:val="18"/>
          <w:sz w:val="32"/>
          <w:szCs w:val="32"/>
          <w:highlight w:val="none"/>
          <w:lang w:val="en-US" w:eastAsia="zh-CN"/>
        </w:rPr>
        <w:t>56,339</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kern w:val="18"/>
          <w:sz w:val="32"/>
          <w:szCs w:val="32"/>
          <w:highlight w:val="none"/>
          <w:u w:val="none"/>
        </w:rPr>
        <w:t>，</w:t>
      </w:r>
      <w:r>
        <w:rPr>
          <w:rFonts w:hint="default" w:ascii="Times New Roman" w:hAnsi="Times New Roman" w:eastAsia="仿宋_GB2312" w:cs="Times New Roman"/>
          <w:color w:val="auto"/>
          <w:spacing w:val="0"/>
          <w:sz w:val="32"/>
          <w:szCs w:val="32"/>
          <w:highlight w:val="none"/>
          <w:u w:val="none"/>
        </w:rPr>
        <w:t>完成年度预算的</w:t>
      </w:r>
      <w:r>
        <w:rPr>
          <w:rFonts w:hint="default" w:ascii="Times New Roman" w:hAnsi="Times New Roman" w:eastAsia="仿宋_GB2312" w:cs="Times New Roman"/>
          <w:color w:val="auto"/>
          <w:spacing w:val="0"/>
          <w:sz w:val="32"/>
          <w:szCs w:val="32"/>
          <w:highlight w:val="none"/>
          <w:u w:val="none"/>
          <w:lang w:val="en-US" w:eastAsia="zh-CN"/>
        </w:rPr>
        <w:t>126.9</w:t>
      </w:r>
      <w:r>
        <w:rPr>
          <w:rFonts w:hint="default" w:ascii="Times New Roman" w:hAnsi="Times New Roman" w:eastAsia="仿宋_GB2312" w:cs="Times New Roman"/>
          <w:color w:val="auto"/>
          <w:spacing w:val="0"/>
          <w:sz w:val="32"/>
          <w:szCs w:val="32"/>
          <w:highlight w:val="none"/>
          <w:u w:val="none"/>
        </w:rPr>
        <w:t>%</w:t>
      </w:r>
      <w:r>
        <w:rPr>
          <w:rFonts w:hint="default" w:ascii="Times New Roman" w:hAnsi="Times New Roman" w:eastAsia="仿宋_GB2312" w:cs="Times New Roman"/>
          <w:color w:val="auto"/>
          <w:spacing w:val="0"/>
          <w:sz w:val="32"/>
          <w:szCs w:val="32"/>
          <w:highlight w:val="none"/>
          <w:u w:val="none"/>
          <w:lang w:val="en-US" w:eastAsia="zh-CN"/>
        </w:rPr>
        <w:t>，比增25.4%</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rPr>
        <w:t>其中：</w:t>
      </w:r>
      <w:r>
        <w:rPr>
          <w:rFonts w:hint="default" w:ascii="Times New Roman" w:hAnsi="Times New Roman" w:eastAsia="仿宋_GB2312" w:cs="Times New Roman"/>
          <w:color w:val="auto"/>
          <w:spacing w:val="0"/>
          <w:kern w:val="18"/>
          <w:sz w:val="32"/>
          <w:szCs w:val="32"/>
          <w:highlight w:val="none"/>
        </w:rPr>
        <w:t>税收分成收入</w:t>
      </w:r>
      <w:r>
        <w:rPr>
          <w:rFonts w:hint="default" w:ascii="Times New Roman" w:hAnsi="Times New Roman" w:eastAsia="仿宋_GB2312" w:cs="Times New Roman"/>
          <w:color w:val="auto"/>
          <w:spacing w:val="0"/>
          <w:kern w:val="18"/>
          <w:sz w:val="32"/>
          <w:szCs w:val="32"/>
          <w:highlight w:val="none"/>
          <w:lang w:val="en-US" w:eastAsia="zh-CN"/>
        </w:rPr>
        <w:t>30,707</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kern w:val="18"/>
          <w:sz w:val="32"/>
          <w:szCs w:val="32"/>
          <w:highlight w:val="none"/>
        </w:rPr>
        <w:t>非税收入</w:t>
      </w:r>
      <w:r>
        <w:rPr>
          <w:rFonts w:hint="default" w:ascii="Times New Roman" w:hAnsi="Times New Roman" w:eastAsia="仿宋_GB2312" w:cs="Times New Roman"/>
          <w:color w:val="auto"/>
          <w:spacing w:val="0"/>
          <w:kern w:val="18"/>
          <w:sz w:val="32"/>
          <w:szCs w:val="32"/>
          <w:highlight w:val="none"/>
          <w:lang w:val="en-US" w:eastAsia="zh-CN"/>
        </w:rPr>
        <w:t>25,632</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sz w:val="32"/>
          <w:szCs w:val="32"/>
          <w:highlight w:val="none"/>
        </w:rPr>
        <w:t>。</w:t>
      </w:r>
    </w:p>
    <w:p>
      <w:pPr>
        <w:pStyle w:val="8"/>
        <w:keepNext w:val="0"/>
        <w:keepLines w:val="0"/>
        <w:pageBreakBefore w:val="0"/>
        <w:widowControl w:val="0"/>
        <w:numPr>
          <w:ilvl w:val="0"/>
          <w:numId w:val="1"/>
        </w:numPr>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kern w:val="18"/>
          <w:sz w:val="32"/>
          <w:szCs w:val="32"/>
          <w:highlight w:val="none"/>
        </w:rPr>
        <w:t>上级</w:t>
      </w:r>
      <w:r>
        <w:rPr>
          <w:rFonts w:hint="default" w:ascii="Times New Roman" w:hAnsi="Times New Roman" w:eastAsia="仿宋_GB2312" w:cs="Times New Roman"/>
          <w:color w:val="auto"/>
          <w:spacing w:val="0"/>
          <w:kern w:val="18"/>
          <w:sz w:val="32"/>
          <w:szCs w:val="32"/>
          <w:highlight w:val="none"/>
          <w:lang w:val="en-US" w:eastAsia="zh-CN"/>
        </w:rPr>
        <w:t>补助</w:t>
      </w:r>
      <w:r>
        <w:rPr>
          <w:rFonts w:hint="default" w:ascii="Times New Roman" w:hAnsi="Times New Roman" w:eastAsia="仿宋_GB2312" w:cs="Times New Roman"/>
          <w:color w:val="auto"/>
          <w:spacing w:val="0"/>
          <w:kern w:val="18"/>
          <w:sz w:val="32"/>
          <w:szCs w:val="32"/>
          <w:highlight w:val="none"/>
        </w:rPr>
        <w:t>收入</w:t>
      </w:r>
      <w:r>
        <w:rPr>
          <w:rFonts w:hint="default" w:ascii="Times New Roman" w:hAnsi="Times New Roman" w:eastAsia="仿宋_GB2312" w:cs="Times New Roman"/>
          <w:color w:val="auto"/>
          <w:spacing w:val="0"/>
          <w:kern w:val="18"/>
          <w:sz w:val="32"/>
          <w:szCs w:val="32"/>
          <w:highlight w:val="none"/>
          <w:lang w:val="en-US" w:eastAsia="zh-CN"/>
        </w:rPr>
        <w:t>35,887</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kern w:val="18"/>
          <w:sz w:val="32"/>
          <w:szCs w:val="32"/>
          <w:highlight w:val="none"/>
          <w:u w:val="none"/>
        </w:rPr>
        <w:t>，</w:t>
      </w:r>
      <w:r>
        <w:rPr>
          <w:rFonts w:hint="default" w:ascii="Times New Roman" w:hAnsi="Times New Roman" w:eastAsia="仿宋_GB2312" w:cs="Times New Roman"/>
          <w:color w:val="auto"/>
          <w:spacing w:val="0"/>
          <w:kern w:val="18"/>
          <w:sz w:val="32"/>
          <w:szCs w:val="32"/>
          <w:highlight w:val="none"/>
          <w:u w:val="none"/>
          <w:lang w:val="en-US" w:eastAsia="zh-CN"/>
        </w:rPr>
        <w:t>完成年度预算的133.2%，</w:t>
      </w:r>
      <w:r>
        <w:rPr>
          <w:rFonts w:hint="default" w:ascii="Times New Roman" w:hAnsi="Times New Roman" w:eastAsia="仿宋_GB2312" w:cs="Times New Roman"/>
          <w:color w:val="auto"/>
          <w:spacing w:val="0"/>
          <w:sz w:val="32"/>
          <w:szCs w:val="32"/>
          <w:highlight w:val="none"/>
          <w:u w:val="none"/>
        </w:rPr>
        <w:t>比</w:t>
      </w:r>
      <w:r>
        <w:rPr>
          <w:rFonts w:hint="default" w:ascii="Times New Roman" w:hAnsi="Times New Roman" w:eastAsia="仿宋_GB2312" w:cs="Times New Roman"/>
          <w:color w:val="auto"/>
          <w:spacing w:val="0"/>
          <w:sz w:val="32"/>
          <w:szCs w:val="32"/>
          <w:highlight w:val="none"/>
          <w:u w:val="none"/>
          <w:lang w:val="en-US" w:eastAsia="zh-CN"/>
        </w:rPr>
        <w:t>减19.3</w:t>
      </w:r>
      <w:r>
        <w:rPr>
          <w:rFonts w:hint="default" w:ascii="Times New Roman" w:hAnsi="Times New Roman" w:eastAsia="仿宋_GB2312" w:cs="Times New Roman"/>
          <w:color w:val="auto"/>
          <w:spacing w:val="0"/>
          <w:sz w:val="32"/>
          <w:szCs w:val="32"/>
          <w:highlight w:val="none"/>
          <w:u w:val="none"/>
        </w:rPr>
        <w:t>%</w:t>
      </w:r>
      <w:r>
        <w:rPr>
          <w:rFonts w:hint="default" w:ascii="Times New Roman" w:hAnsi="Times New Roman" w:eastAsia="仿宋_GB2312" w:cs="Times New Roman"/>
          <w:snapToGrid w:val="0"/>
          <w:color w:val="auto"/>
          <w:spacing w:val="0"/>
          <w:kern w:val="0"/>
          <w:sz w:val="32"/>
          <w:szCs w:val="32"/>
          <w:highlight w:val="none"/>
          <w:lang w:val="en-US" w:eastAsia="zh-CN"/>
        </w:rPr>
        <w:t>。其中：</w:t>
      </w:r>
      <w:r>
        <w:rPr>
          <w:rFonts w:hint="default" w:ascii="Times New Roman" w:hAnsi="Times New Roman" w:eastAsia="仿宋_GB2312" w:cs="Times New Roman"/>
          <w:color w:val="auto"/>
          <w:spacing w:val="0"/>
          <w:kern w:val="18"/>
          <w:sz w:val="32"/>
          <w:szCs w:val="32"/>
          <w:highlight w:val="none"/>
          <w:lang w:val="en-US" w:eastAsia="zh-CN"/>
        </w:rPr>
        <w:t>均衡性转移支付10,901万元、政策性转移支付923万元、临时困难救助4,080万元、专项转移支付17,534万元、其他一般性转移支付收入1,472万元。减少原因主要为市下拨村镇低效工业园改造升级专项资金同比减少约1.1亿元。</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kern w:val="18"/>
          <w:sz w:val="32"/>
          <w:szCs w:val="32"/>
          <w:highlight w:val="none"/>
          <w:lang w:val="en-US" w:eastAsia="zh-CN"/>
        </w:rPr>
      </w:pPr>
      <w:r>
        <w:rPr>
          <w:rFonts w:hint="default" w:ascii="Times New Roman" w:hAnsi="Times New Roman" w:eastAsia="仿宋_GB2312" w:cs="Times New Roman"/>
          <w:color w:val="auto"/>
          <w:spacing w:val="0"/>
          <w:kern w:val="18"/>
          <w:sz w:val="32"/>
          <w:szCs w:val="32"/>
          <w:highlight w:val="none"/>
          <w:lang w:val="en-US" w:eastAsia="zh-CN"/>
        </w:rPr>
        <w:t>（三）政府性基金预算收入63,634万元，完成年度预算的64.2%。受土地政策及市场环境影响，本年土地出让情况与预期相差较大。</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kern w:val="18"/>
          <w:sz w:val="32"/>
          <w:szCs w:val="32"/>
          <w:highlight w:val="none"/>
          <w:lang w:val="en-US" w:eastAsia="zh-CN"/>
        </w:rPr>
      </w:pPr>
      <w:r>
        <w:rPr>
          <w:rFonts w:hint="default" w:ascii="Times New Roman" w:hAnsi="Times New Roman" w:eastAsia="仿宋_GB2312" w:cs="Times New Roman"/>
          <w:color w:val="auto"/>
          <w:spacing w:val="0"/>
          <w:kern w:val="18"/>
          <w:sz w:val="32"/>
          <w:szCs w:val="32"/>
          <w:highlight w:val="none"/>
        </w:rPr>
        <w:t>（四）</w:t>
      </w:r>
      <w:r>
        <w:rPr>
          <w:rFonts w:hint="default" w:ascii="Times New Roman" w:hAnsi="Times New Roman" w:eastAsia="仿宋_GB2312" w:cs="Times New Roman"/>
          <w:color w:val="auto"/>
          <w:spacing w:val="0"/>
          <w:kern w:val="18"/>
          <w:sz w:val="32"/>
          <w:szCs w:val="32"/>
          <w:highlight w:val="none"/>
          <w:lang w:val="en-US" w:eastAsia="zh-CN"/>
        </w:rPr>
        <w:t>医疗收入、教育收费</w:t>
      </w:r>
      <w:r>
        <w:rPr>
          <w:rFonts w:hint="default" w:ascii="Times New Roman" w:hAnsi="Times New Roman" w:eastAsia="仿宋_GB2312" w:cs="Times New Roman"/>
          <w:color w:val="auto"/>
          <w:spacing w:val="0"/>
          <w:kern w:val="18"/>
          <w:sz w:val="32"/>
          <w:szCs w:val="32"/>
          <w:highlight w:val="none"/>
        </w:rPr>
        <w:t>等财政专户收入</w:t>
      </w:r>
      <w:r>
        <w:rPr>
          <w:rFonts w:hint="default" w:ascii="Times New Roman" w:hAnsi="Times New Roman" w:eastAsia="仿宋_GB2312" w:cs="Times New Roman"/>
          <w:color w:val="auto"/>
          <w:spacing w:val="0"/>
          <w:kern w:val="18"/>
          <w:sz w:val="32"/>
          <w:szCs w:val="32"/>
          <w:highlight w:val="none"/>
          <w:lang w:val="en-US" w:eastAsia="zh-CN"/>
        </w:rPr>
        <w:t>37,033</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kern w:val="18"/>
          <w:sz w:val="32"/>
          <w:szCs w:val="32"/>
          <w:highlight w:val="none"/>
          <w:lang w:eastAsia="zh-CN"/>
        </w:rPr>
        <w:t>，</w:t>
      </w:r>
      <w:r>
        <w:rPr>
          <w:rFonts w:hint="default" w:ascii="Times New Roman" w:hAnsi="Times New Roman" w:eastAsia="仿宋_GB2312" w:cs="Times New Roman"/>
          <w:color w:val="auto"/>
          <w:spacing w:val="0"/>
          <w:kern w:val="18"/>
          <w:sz w:val="32"/>
          <w:szCs w:val="32"/>
          <w:highlight w:val="none"/>
          <w:lang w:val="en-US" w:eastAsia="zh-CN"/>
        </w:rPr>
        <w:t>完成年度预算的66.2%。未能完成年度预算收入的主要原因是市土储中心收储我镇土地尾款约1.7亿元未如期划拨。</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kern w:val="18"/>
          <w:sz w:val="32"/>
          <w:szCs w:val="32"/>
          <w:highlight w:val="none"/>
          <w:lang w:val="en-US" w:eastAsia="zh-CN"/>
        </w:rPr>
      </w:pPr>
      <w:r>
        <w:rPr>
          <w:rFonts w:hint="default" w:ascii="Times New Roman" w:hAnsi="Times New Roman" w:eastAsia="仿宋_GB2312" w:cs="Times New Roman"/>
          <w:color w:val="auto"/>
          <w:spacing w:val="0"/>
          <w:kern w:val="18"/>
          <w:sz w:val="32"/>
          <w:szCs w:val="32"/>
          <w:highlight w:val="none"/>
        </w:rPr>
        <w:t>（五）</w:t>
      </w:r>
      <w:r>
        <w:rPr>
          <w:rFonts w:hint="default" w:ascii="Times New Roman" w:hAnsi="Times New Roman" w:eastAsia="仿宋_GB2312" w:cs="Times New Roman"/>
          <w:color w:val="auto"/>
          <w:spacing w:val="0"/>
          <w:kern w:val="18"/>
          <w:sz w:val="32"/>
          <w:szCs w:val="32"/>
          <w:highlight w:val="none"/>
          <w:lang w:val="en-US" w:eastAsia="zh-CN"/>
        </w:rPr>
        <w:t>债券转贷收入59,869万元，包括</w:t>
      </w:r>
      <w:r>
        <w:rPr>
          <w:rFonts w:hint="default" w:ascii="Times New Roman" w:hAnsi="Times New Roman" w:eastAsia="仿宋_GB2312" w:cs="Times New Roman"/>
          <w:color w:val="auto"/>
          <w:spacing w:val="0"/>
          <w:kern w:val="18"/>
          <w:sz w:val="32"/>
          <w:szCs w:val="32"/>
          <w:highlight w:val="none"/>
        </w:rPr>
        <w:t>一般债券转贷收入</w:t>
      </w:r>
      <w:r>
        <w:rPr>
          <w:rFonts w:hint="default" w:ascii="Times New Roman" w:hAnsi="Times New Roman" w:eastAsia="仿宋_GB2312" w:cs="Times New Roman"/>
          <w:color w:val="auto"/>
          <w:spacing w:val="0"/>
          <w:kern w:val="18"/>
          <w:sz w:val="32"/>
          <w:szCs w:val="32"/>
          <w:highlight w:val="none"/>
          <w:lang w:val="en-US" w:eastAsia="zh-CN"/>
        </w:rPr>
        <w:t>907</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kern w:val="18"/>
          <w:sz w:val="32"/>
          <w:szCs w:val="32"/>
          <w:highlight w:val="none"/>
          <w:lang w:eastAsia="zh-CN"/>
        </w:rPr>
        <w:t>，</w:t>
      </w:r>
      <w:r>
        <w:rPr>
          <w:rFonts w:hint="default" w:ascii="Times New Roman" w:hAnsi="Times New Roman" w:eastAsia="仿宋_GB2312" w:cs="Times New Roman"/>
          <w:color w:val="auto"/>
          <w:spacing w:val="0"/>
          <w:kern w:val="18"/>
          <w:sz w:val="32"/>
          <w:szCs w:val="32"/>
          <w:highlight w:val="none"/>
          <w:lang w:val="en-US" w:eastAsia="zh-CN"/>
        </w:rPr>
        <w:t>专项</w:t>
      </w:r>
      <w:r>
        <w:rPr>
          <w:rFonts w:hint="default" w:ascii="Times New Roman" w:hAnsi="Times New Roman" w:eastAsia="仿宋_GB2312" w:cs="Times New Roman"/>
          <w:color w:val="auto"/>
          <w:spacing w:val="0"/>
          <w:kern w:val="18"/>
          <w:sz w:val="32"/>
          <w:szCs w:val="32"/>
          <w:highlight w:val="none"/>
        </w:rPr>
        <w:t>债券转贷收入</w:t>
      </w:r>
      <w:r>
        <w:rPr>
          <w:rFonts w:hint="default" w:ascii="Times New Roman" w:hAnsi="Times New Roman" w:eastAsia="仿宋_GB2312" w:cs="Times New Roman"/>
          <w:color w:val="auto"/>
          <w:spacing w:val="0"/>
          <w:kern w:val="18"/>
          <w:sz w:val="32"/>
          <w:szCs w:val="32"/>
          <w:highlight w:val="none"/>
          <w:lang w:val="en-US" w:eastAsia="zh-CN"/>
        </w:rPr>
        <w:t>58,962</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kern w:val="18"/>
          <w:sz w:val="32"/>
          <w:szCs w:val="32"/>
          <w:highlight w:val="none"/>
          <w:lang w:val="en-US" w:eastAsia="zh-CN"/>
        </w:rPr>
        <w:t>。</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kern w:val="18"/>
          <w:sz w:val="32"/>
          <w:szCs w:val="32"/>
          <w:highlight w:val="none"/>
          <w:lang w:val="en-US" w:eastAsia="zh-CN"/>
        </w:rPr>
      </w:pPr>
      <w:r>
        <w:rPr>
          <w:rFonts w:hint="default" w:ascii="Times New Roman" w:hAnsi="Times New Roman" w:eastAsia="仿宋_GB2312" w:cs="Times New Roman"/>
          <w:color w:val="auto"/>
          <w:spacing w:val="0"/>
          <w:kern w:val="18"/>
          <w:sz w:val="32"/>
          <w:szCs w:val="32"/>
          <w:highlight w:val="none"/>
          <w:lang w:val="en-US" w:eastAsia="zh-CN"/>
        </w:rPr>
        <w:t>（六）调入资金31万元。</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kern w:val="18"/>
          <w:sz w:val="32"/>
          <w:szCs w:val="32"/>
          <w:highlight w:val="none"/>
          <w:lang w:val="en-US" w:eastAsia="zh-CN"/>
        </w:rPr>
      </w:pPr>
      <w:r>
        <w:rPr>
          <w:rFonts w:hint="default" w:ascii="Times New Roman" w:hAnsi="Times New Roman" w:eastAsia="仿宋_GB2312" w:cs="Times New Roman"/>
          <w:color w:val="auto"/>
          <w:spacing w:val="0"/>
          <w:kern w:val="18"/>
          <w:sz w:val="32"/>
          <w:szCs w:val="32"/>
          <w:highlight w:val="none"/>
        </w:rPr>
        <w:t>按照规定，从政府性基金</w:t>
      </w:r>
      <w:r>
        <w:rPr>
          <w:rFonts w:hint="default" w:ascii="Times New Roman" w:hAnsi="Times New Roman" w:eastAsia="仿宋_GB2312" w:cs="Times New Roman"/>
          <w:color w:val="auto"/>
          <w:spacing w:val="0"/>
          <w:kern w:val="18"/>
          <w:sz w:val="32"/>
          <w:szCs w:val="32"/>
          <w:highlight w:val="none"/>
          <w:lang w:val="en-US" w:eastAsia="zh-CN"/>
        </w:rPr>
        <w:t>收入</w:t>
      </w:r>
      <w:r>
        <w:rPr>
          <w:rFonts w:hint="default" w:ascii="Times New Roman" w:hAnsi="Times New Roman" w:eastAsia="仿宋_GB2312" w:cs="Times New Roman"/>
          <w:color w:val="auto"/>
          <w:spacing w:val="0"/>
          <w:kern w:val="18"/>
          <w:sz w:val="32"/>
          <w:szCs w:val="32"/>
          <w:highlight w:val="none"/>
          <w:lang w:eastAsia="zh-CN"/>
        </w:rPr>
        <w:t>、</w:t>
      </w:r>
      <w:r>
        <w:rPr>
          <w:rFonts w:hint="default" w:ascii="Times New Roman" w:hAnsi="Times New Roman" w:eastAsia="仿宋_GB2312" w:cs="Times New Roman"/>
          <w:color w:val="auto"/>
          <w:spacing w:val="0"/>
          <w:kern w:val="18"/>
          <w:sz w:val="32"/>
          <w:szCs w:val="32"/>
          <w:highlight w:val="none"/>
          <w:lang w:val="en-US" w:eastAsia="zh-CN"/>
        </w:rPr>
        <w:t>财政专户收入等</w:t>
      </w:r>
      <w:r>
        <w:rPr>
          <w:rFonts w:hint="default" w:ascii="Times New Roman" w:hAnsi="Times New Roman" w:eastAsia="仿宋_GB2312" w:cs="Times New Roman"/>
          <w:color w:val="auto"/>
          <w:spacing w:val="0"/>
          <w:kern w:val="18"/>
          <w:sz w:val="32"/>
          <w:szCs w:val="32"/>
          <w:highlight w:val="none"/>
        </w:rPr>
        <w:t>调入一般公共预算</w:t>
      </w:r>
      <w:r>
        <w:rPr>
          <w:rFonts w:hint="default" w:ascii="Times New Roman" w:hAnsi="Times New Roman" w:eastAsia="仿宋_GB2312" w:cs="Times New Roman"/>
          <w:color w:val="auto"/>
          <w:spacing w:val="0"/>
          <w:kern w:val="18"/>
          <w:sz w:val="32"/>
          <w:szCs w:val="32"/>
          <w:highlight w:val="none"/>
          <w:lang w:val="en-US" w:eastAsia="zh-CN"/>
        </w:rPr>
        <w:t>收入</w:t>
      </w:r>
      <w:r>
        <w:rPr>
          <w:rFonts w:hint="default" w:ascii="Times New Roman" w:hAnsi="Times New Roman" w:eastAsia="仿宋_GB2312" w:cs="Times New Roman"/>
          <w:color w:val="auto"/>
          <w:spacing w:val="0"/>
          <w:kern w:val="18"/>
          <w:sz w:val="32"/>
          <w:szCs w:val="32"/>
          <w:highlight w:val="none"/>
          <w:u w:val="none"/>
          <w:lang w:val="en-US" w:eastAsia="zh-CN"/>
        </w:rPr>
        <w:t>22,346</w:t>
      </w:r>
      <w:r>
        <w:rPr>
          <w:rFonts w:hint="default" w:ascii="Times New Roman" w:hAnsi="Times New Roman" w:eastAsia="仿宋_GB2312" w:cs="Times New Roman"/>
          <w:color w:val="auto"/>
          <w:spacing w:val="0"/>
          <w:kern w:val="18"/>
          <w:sz w:val="32"/>
          <w:szCs w:val="32"/>
          <w:highlight w:val="none"/>
          <w:u w:val="none"/>
        </w:rPr>
        <w:t>万</w:t>
      </w:r>
      <w:r>
        <w:rPr>
          <w:rFonts w:hint="default" w:ascii="Times New Roman" w:hAnsi="Times New Roman" w:eastAsia="仿宋_GB2312" w:cs="Times New Roman"/>
          <w:color w:val="auto"/>
          <w:spacing w:val="0"/>
          <w:kern w:val="18"/>
          <w:sz w:val="32"/>
          <w:szCs w:val="32"/>
          <w:highlight w:val="none"/>
        </w:rPr>
        <w:t>元</w:t>
      </w:r>
      <w:r>
        <w:rPr>
          <w:rFonts w:hint="default" w:ascii="Times New Roman" w:hAnsi="Times New Roman" w:eastAsia="仿宋_GB2312" w:cs="Times New Roman"/>
          <w:color w:val="auto"/>
          <w:spacing w:val="0"/>
          <w:kern w:val="18"/>
          <w:sz w:val="32"/>
          <w:szCs w:val="32"/>
          <w:highlight w:val="none"/>
          <w:lang w:val="en-US" w:eastAsia="zh-CN"/>
        </w:rPr>
        <w:t>。</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黑体" w:cs="Times New Roman"/>
          <w:bCs/>
          <w:color w:val="auto"/>
          <w:spacing w:val="0"/>
          <w:kern w:val="18"/>
          <w:sz w:val="32"/>
          <w:szCs w:val="32"/>
          <w:highlight w:val="none"/>
        </w:rPr>
      </w:pPr>
      <w:r>
        <w:rPr>
          <w:rFonts w:hint="default" w:ascii="Times New Roman" w:hAnsi="Times New Roman" w:eastAsia="黑体" w:cs="Times New Roman"/>
          <w:bCs/>
          <w:color w:val="auto"/>
          <w:spacing w:val="0"/>
          <w:kern w:val="18"/>
          <w:sz w:val="32"/>
          <w:szCs w:val="32"/>
          <w:highlight w:val="none"/>
        </w:rPr>
        <w:t>二、</w:t>
      </w:r>
      <w:r>
        <w:rPr>
          <w:rFonts w:hint="default" w:ascii="Times New Roman" w:hAnsi="Times New Roman" w:eastAsia="黑体" w:cs="Times New Roman"/>
          <w:bCs/>
          <w:color w:val="auto"/>
          <w:spacing w:val="0"/>
          <w:kern w:val="18"/>
          <w:sz w:val="32"/>
          <w:szCs w:val="32"/>
          <w:highlight w:val="none"/>
          <w:lang w:eastAsia="zh-CN"/>
        </w:rPr>
        <w:t>2023</w:t>
      </w:r>
      <w:r>
        <w:rPr>
          <w:rFonts w:hint="default" w:ascii="Times New Roman" w:hAnsi="Times New Roman" w:eastAsia="黑体" w:cs="Times New Roman"/>
          <w:bCs/>
          <w:color w:val="auto"/>
          <w:spacing w:val="0"/>
          <w:kern w:val="18"/>
          <w:sz w:val="32"/>
          <w:szCs w:val="32"/>
          <w:highlight w:val="none"/>
        </w:rPr>
        <w:t>年财政支出情况</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仿宋_GB2312" w:cs="Times New Roman"/>
          <w:color w:val="auto"/>
          <w:spacing w:val="0"/>
          <w:kern w:val="18"/>
          <w:sz w:val="32"/>
          <w:szCs w:val="32"/>
          <w:highlight w:val="none"/>
        </w:rPr>
      </w:pPr>
      <w:r>
        <w:rPr>
          <w:rFonts w:hint="default" w:ascii="Times New Roman" w:hAnsi="Times New Roman" w:eastAsia="仿宋_GB2312" w:cs="Times New Roman"/>
          <w:color w:val="auto"/>
          <w:spacing w:val="0"/>
          <w:kern w:val="18"/>
          <w:sz w:val="32"/>
          <w:szCs w:val="32"/>
          <w:highlight w:val="none"/>
          <w:lang w:eastAsia="zh-CN"/>
        </w:rPr>
        <w:t>2023</w:t>
      </w:r>
      <w:r>
        <w:rPr>
          <w:rFonts w:hint="default" w:ascii="Times New Roman" w:hAnsi="Times New Roman" w:eastAsia="仿宋_GB2312" w:cs="Times New Roman"/>
          <w:color w:val="auto"/>
          <w:spacing w:val="0"/>
          <w:kern w:val="18"/>
          <w:sz w:val="32"/>
          <w:szCs w:val="32"/>
          <w:highlight w:val="none"/>
        </w:rPr>
        <w:t>年我镇实现财政支出</w:t>
      </w:r>
      <w:r>
        <w:rPr>
          <w:rFonts w:hint="default" w:ascii="Times New Roman" w:hAnsi="Times New Roman" w:eastAsia="仿宋_GB2312" w:cs="Times New Roman"/>
          <w:color w:val="auto"/>
          <w:spacing w:val="0"/>
          <w:kern w:val="18"/>
          <w:sz w:val="32"/>
          <w:szCs w:val="32"/>
          <w:highlight w:val="none"/>
          <w:lang w:val="en-US" w:eastAsia="zh-CN"/>
        </w:rPr>
        <w:t>219,453</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sz w:val="32"/>
          <w:szCs w:val="32"/>
          <w:highlight w:val="none"/>
        </w:rPr>
        <w:t>完成年度预算的</w:t>
      </w:r>
      <w:r>
        <w:rPr>
          <w:rFonts w:hint="default" w:ascii="Times New Roman" w:hAnsi="Times New Roman" w:eastAsia="仿宋_GB2312" w:cs="Times New Roman"/>
          <w:color w:val="auto"/>
          <w:spacing w:val="0"/>
          <w:sz w:val="32"/>
          <w:szCs w:val="32"/>
          <w:highlight w:val="none"/>
          <w:lang w:val="en-US" w:eastAsia="zh-CN"/>
        </w:rPr>
        <w:t>8</w:t>
      </w:r>
      <w:r>
        <w:rPr>
          <w:rFonts w:hint="default" w:ascii="Times New Roman" w:hAnsi="Times New Roman" w:eastAsia="仿宋_GB2312" w:cs="Times New Roman"/>
          <w:color w:val="auto"/>
          <w:spacing w:val="0"/>
          <w:kern w:val="18"/>
          <w:sz w:val="32"/>
          <w:szCs w:val="32"/>
          <w:highlight w:val="none"/>
          <w:lang w:val="en-US" w:eastAsia="zh-CN"/>
        </w:rPr>
        <w:t>0.8%。</w:t>
      </w:r>
      <w:r>
        <w:rPr>
          <w:rFonts w:hint="default" w:ascii="Times New Roman" w:hAnsi="Times New Roman" w:eastAsia="仿宋_GB2312" w:cs="Times New Roman"/>
          <w:color w:val="auto"/>
          <w:spacing w:val="0"/>
          <w:kern w:val="18"/>
          <w:sz w:val="32"/>
          <w:szCs w:val="32"/>
          <w:highlight w:val="none"/>
        </w:rPr>
        <w:t>其中：</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lang w:val="en-US" w:eastAsia="zh-CN"/>
        </w:rPr>
      </w:pPr>
      <w:r>
        <w:rPr>
          <w:rFonts w:hint="default" w:ascii="Times New Roman" w:hAnsi="Times New Roman" w:eastAsia="仿宋_GB2312" w:cs="Times New Roman"/>
          <w:color w:val="auto"/>
          <w:spacing w:val="0"/>
          <w:kern w:val="18"/>
          <w:sz w:val="32"/>
          <w:szCs w:val="32"/>
          <w:highlight w:val="none"/>
        </w:rPr>
        <w:t>（一）一般公共预算</w:t>
      </w:r>
      <w:r>
        <w:rPr>
          <w:rFonts w:hint="default" w:ascii="Times New Roman" w:hAnsi="Times New Roman" w:eastAsia="仿宋_GB2312" w:cs="Times New Roman"/>
          <w:color w:val="auto"/>
          <w:spacing w:val="0"/>
          <w:kern w:val="18"/>
          <w:sz w:val="32"/>
          <w:szCs w:val="32"/>
          <w:highlight w:val="none"/>
          <w:lang w:val="en-US" w:eastAsia="zh-CN"/>
        </w:rPr>
        <w:t>支出101,567</w:t>
      </w:r>
      <w:r>
        <w:rPr>
          <w:rFonts w:hint="default" w:ascii="Times New Roman" w:hAnsi="Times New Roman" w:eastAsia="仿宋_GB2312" w:cs="Times New Roman"/>
          <w:color w:val="auto"/>
          <w:spacing w:val="0"/>
          <w:kern w:val="18"/>
          <w:sz w:val="32"/>
          <w:szCs w:val="32"/>
          <w:highlight w:val="none"/>
        </w:rPr>
        <w:t>万元，完成年度预算的</w:t>
      </w:r>
      <w:r>
        <w:rPr>
          <w:rFonts w:hint="default" w:ascii="Times New Roman" w:hAnsi="Times New Roman" w:eastAsia="仿宋_GB2312" w:cs="Times New Roman"/>
          <w:color w:val="auto"/>
          <w:spacing w:val="0"/>
          <w:kern w:val="18"/>
          <w:sz w:val="32"/>
          <w:szCs w:val="32"/>
          <w:highlight w:val="none"/>
          <w:lang w:val="en-US" w:eastAsia="zh-CN"/>
        </w:rPr>
        <w:t>85.6</w:t>
      </w:r>
      <w:r>
        <w:rPr>
          <w:rFonts w:hint="default" w:ascii="Times New Roman" w:hAnsi="Times New Roman" w:eastAsia="仿宋_GB2312" w:cs="Times New Roman"/>
          <w:color w:val="auto"/>
          <w:spacing w:val="0"/>
          <w:kern w:val="18"/>
          <w:sz w:val="32"/>
          <w:szCs w:val="32"/>
          <w:highlight w:val="none"/>
        </w:rPr>
        <w:t>%</w:t>
      </w:r>
      <w:r>
        <w:rPr>
          <w:rFonts w:hint="default" w:ascii="Times New Roman" w:hAnsi="Times New Roman" w:eastAsia="仿宋_GB2312" w:cs="Times New Roman"/>
          <w:color w:val="auto"/>
          <w:spacing w:val="0"/>
          <w:kern w:val="18"/>
          <w:sz w:val="32"/>
          <w:szCs w:val="32"/>
          <w:highlight w:val="none"/>
          <w:lang w:eastAsia="zh-CN"/>
        </w:rPr>
        <w:t>。</w:t>
      </w:r>
      <w:r>
        <w:rPr>
          <w:rFonts w:hint="default" w:ascii="Times New Roman" w:hAnsi="Times New Roman" w:eastAsia="仿宋_GB2312" w:cs="Times New Roman"/>
          <w:color w:val="auto"/>
          <w:spacing w:val="0"/>
          <w:kern w:val="18"/>
          <w:sz w:val="32"/>
          <w:szCs w:val="32"/>
          <w:highlight w:val="none"/>
        </w:rPr>
        <w:t>其中</w:t>
      </w:r>
      <w:r>
        <w:rPr>
          <w:rFonts w:hint="default" w:ascii="Times New Roman" w:hAnsi="Times New Roman" w:eastAsia="仿宋_GB2312" w:cs="Times New Roman"/>
          <w:color w:val="auto"/>
          <w:spacing w:val="0"/>
          <w:kern w:val="18"/>
          <w:sz w:val="32"/>
          <w:szCs w:val="32"/>
          <w:highlight w:val="none"/>
          <w:lang w:val="en-US" w:eastAsia="zh-CN"/>
        </w:rPr>
        <w:t>上解支出16,320万元（包含一般</w:t>
      </w:r>
      <w:r>
        <w:rPr>
          <w:rFonts w:hint="default" w:ascii="Times New Roman" w:hAnsi="Times New Roman" w:eastAsia="仿宋_GB2312" w:cs="Times New Roman"/>
          <w:color w:val="auto"/>
          <w:spacing w:val="0"/>
          <w:kern w:val="18"/>
          <w:sz w:val="32"/>
          <w:szCs w:val="32"/>
          <w:highlight w:val="none"/>
        </w:rPr>
        <w:t>债券还本付息</w:t>
      </w:r>
      <w:r>
        <w:rPr>
          <w:rFonts w:hint="default" w:ascii="Times New Roman" w:hAnsi="Times New Roman" w:eastAsia="仿宋_GB2312" w:cs="Times New Roman"/>
          <w:color w:val="auto"/>
          <w:spacing w:val="0"/>
          <w:kern w:val="18"/>
          <w:sz w:val="32"/>
          <w:szCs w:val="32"/>
          <w:highlight w:val="none"/>
          <w:lang w:val="en-US" w:eastAsia="zh-CN"/>
        </w:rPr>
        <w:t>费用</w:t>
      </w:r>
      <w:r>
        <w:rPr>
          <w:rFonts w:hint="default" w:ascii="Times New Roman" w:hAnsi="Times New Roman" w:eastAsia="仿宋_GB2312" w:cs="Times New Roman"/>
          <w:color w:val="auto"/>
          <w:spacing w:val="0"/>
          <w:kern w:val="18"/>
          <w:sz w:val="32"/>
          <w:szCs w:val="32"/>
          <w:highlight w:val="none"/>
        </w:rPr>
        <w:t>支出</w:t>
      </w:r>
      <w:r>
        <w:rPr>
          <w:rFonts w:hint="default" w:ascii="Times New Roman" w:hAnsi="Times New Roman" w:eastAsia="仿宋_GB2312" w:cs="Times New Roman"/>
          <w:color w:val="auto"/>
          <w:spacing w:val="0"/>
          <w:kern w:val="18"/>
          <w:sz w:val="32"/>
          <w:szCs w:val="32"/>
          <w:highlight w:val="none"/>
          <w:lang w:val="en-US" w:eastAsia="zh-CN"/>
        </w:rPr>
        <w:t>1,124</w:t>
      </w:r>
      <w:r>
        <w:rPr>
          <w:rFonts w:hint="default" w:ascii="Times New Roman" w:hAnsi="Times New Roman" w:eastAsia="仿宋_GB2312" w:cs="Times New Roman"/>
          <w:color w:val="auto"/>
          <w:spacing w:val="0"/>
          <w:kern w:val="18"/>
          <w:sz w:val="32"/>
          <w:szCs w:val="32"/>
          <w:highlight w:val="none"/>
        </w:rPr>
        <w:t>万元</w:t>
      </w:r>
      <w:r>
        <w:rPr>
          <w:rFonts w:hint="default" w:ascii="Times New Roman" w:hAnsi="Times New Roman" w:eastAsia="仿宋_GB2312" w:cs="Times New Roman"/>
          <w:color w:val="auto"/>
          <w:spacing w:val="0"/>
          <w:kern w:val="18"/>
          <w:sz w:val="32"/>
          <w:szCs w:val="32"/>
          <w:highlight w:val="none"/>
          <w:shd w:val="clear" w:color="auto" w:fill="FFFFFF"/>
          <w:lang w:eastAsia="zh-CN"/>
        </w:rPr>
        <w:t>）。</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lang w:val="en-US" w:eastAsia="zh-CN"/>
        </w:rPr>
      </w:pPr>
      <w:r>
        <w:rPr>
          <w:rFonts w:hint="default" w:ascii="Times New Roman" w:hAnsi="Times New Roman" w:eastAsia="仿宋_GB2312" w:cs="Times New Roman"/>
          <w:color w:val="auto"/>
          <w:spacing w:val="0"/>
          <w:kern w:val="18"/>
          <w:sz w:val="32"/>
          <w:szCs w:val="32"/>
          <w:highlight w:val="none"/>
          <w:shd w:val="clear" w:color="auto" w:fill="FFFFFF"/>
        </w:rPr>
        <w:t>（二）</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政府性</w:t>
      </w:r>
      <w:r>
        <w:rPr>
          <w:rFonts w:hint="default" w:ascii="Times New Roman" w:hAnsi="Times New Roman" w:eastAsia="仿宋_GB2312" w:cs="Times New Roman"/>
          <w:color w:val="auto"/>
          <w:spacing w:val="0"/>
          <w:kern w:val="18"/>
          <w:sz w:val="32"/>
          <w:szCs w:val="32"/>
          <w:highlight w:val="none"/>
          <w:shd w:val="clear" w:color="auto" w:fill="FFFFFF"/>
        </w:rPr>
        <w:t>基金预算支出</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83,452</w:t>
      </w:r>
      <w:r>
        <w:rPr>
          <w:rFonts w:hint="default" w:ascii="Times New Roman" w:hAnsi="Times New Roman" w:eastAsia="仿宋_GB2312" w:cs="Times New Roman"/>
          <w:color w:val="auto"/>
          <w:spacing w:val="0"/>
          <w:kern w:val="18"/>
          <w:sz w:val="32"/>
          <w:szCs w:val="32"/>
          <w:highlight w:val="none"/>
          <w:shd w:val="clear" w:color="auto" w:fill="FFFFFF"/>
        </w:rPr>
        <w:t>万元</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w:t>
      </w:r>
      <w:r>
        <w:rPr>
          <w:rFonts w:hint="default" w:ascii="Times New Roman" w:hAnsi="Times New Roman" w:eastAsia="仿宋_GB2312" w:cs="Times New Roman"/>
          <w:color w:val="auto"/>
          <w:spacing w:val="0"/>
          <w:kern w:val="18"/>
          <w:sz w:val="32"/>
          <w:szCs w:val="32"/>
          <w:highlight w:val="none"/>
          <w:shd w:val="clear" w:color="auto" w:fill="FFFFFF"/>
        </w:rPr>
        <w:t>其中</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上解支出9,010万元，属专项</w:t>
      </w:r>
      <w:r>
        <w:rPr>
          <w:rFonts w:hint="default" w:ascii="Times New Roman" w:hAnsi="Times New Roman" w:eastAsia="仿宋_GB2312" w:cs="Times New Roman"/>
          <w:color w:val="auto"/>
          <w:spacing w:val="0"/>
          <w:kern w:val="18"/>
          <w:sz w:val="32"/>
          <w:szCs w:val="32"/>
          <w:highlight w:val="none"/>
          <w:shd w:val="clear" w:color="auto" w:fill="FFFFFF"/>
        </w:rPr>
        <w:t>债券还本付息</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费用</w:t>
      </w:r>
      <w:r>
        <w:rPr>
          <w:rFonts w:hint="default" w:ascii="Times New Roman" w:hAnsi="Times New Roman" w:eastAsia="仿宋_GB2312" w:cs="Times New Roman"/>
          <w:color w:val="auto"/>
          <w:spacing w:val="0"/>
          <w:kern w:val="18"/>
          <w:sz w:val="32"/>
          <w:szCs w:val="32"/>
          <w:highlight w:val="none"/>
          <w:shd w:val="clear" w:color="auto" w:fill="FFFFFF"/>
        </w:rPr>
        <w:t>支出</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（三）医疗事业支出等财政专户支出</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34,434</w:t>
      </w:r>
      <w:r>
        <w:rPr>
          <w:rFonts w:hint="default" w:ascii="Times New Roman" w:hAnsi="Times New Roman" w:eastAsia="仿宋_GB2312" w:cs="Times New Roman"/>
          <w:color w:val="auto"/>
          <w:spacing w:val="0"/>
          <w:kern w:val="18"/>
          <w:sz w:val="32"/>
          <w:szCs w:val="32"/>
          <w:highlight w:val="none"/>
          <w:shd w:val="clear" w:color="auto" w:fill="FFFFFF"/>
        </w:rPr>
        <w:t>万元。</w:t>
      </w:r>
    </w:p>
    <w:p>
      <w:pPr>
        <w:pStyle w:val="8"/>
        <w:keepNext w:val="0"/>
        <w:keepLines w:val="0"/>
        <w:pageBreakBefore w:val="0"/>
        <w:widowControl w:val="0"/>
        <w:kinsoku/>
        <w:wordWrap/>
        <w:overflowPunct/>
        <w:topLinePunct w:val="0"/>
        <w:autoSpaceDE/>
        <w:autoSpaceDN/>
        <w:bidi w:val="0"/>
        <w:spacing w:line="360" w:lineRule="auto"/>
        <w:ind w:firstLine="640"/>
        <w:jc w:val="both"/>
        <w:textAlignment w:val="auto"/>
        <w:rPr>
          <w:rFonts w:hint="default" w:ascii="Times New Roman" w:hAnsi="Times New Roman" w:eastAsia="黑体" w:cs="Times New Roman"/>
          <w:bCs/>
          <w:color w:val="auto"/>
          <w:spacing w:val="0"/>
          <w:kern w:val="18"/>
          <w:sz w:val="32"/>
          <w:szCs w:val="32"/>
          <w:highlight w:val="none"/>
        </w:rPr>
      </w:pPr>
      <w:r>
        <w:rPr>
          <w:rFonts w:hint="default" w:ascii="Times New Roman" w:hAnsi="Times New Roman" w:eastAsia="黑体" w:cs="Times New Roman"/>
          <w:bCs/>
          <w:color w:val="auto"/>
          <w:spacing w:val="0"/>
          <w:kern w:val="18"/>
          <w:sz w:val="32"/>
          <w:szCs w:val="32"/>
          <w:highlight w:val="none"/>
        </w:rPr>
        <w:t>三、</w:t>
      </w:r>
      <w:r>
        <w:rPr>
          <w:rFonts w:hint="default" w:ascii="Times New Roman" w:hAnsi="Times New Roman" w:eastAsia="黑体" w:cs="Times New Roman"/>
          <w:bCs/>
          <w:color w:val="auto"/>
          <w:spacing w:val="0"/>
          <w:kern w:val="18"/>
          <w:sz w:val="32"/>
          <w:szCs w:val="32"/>
          <w:highlight w:val="none"/>
          <w:lang w:eastAsia="zh-CN"/>
        </w:rPr>
        <w:t>2023</w:t>
      </w:r>
      <w:r>
        <w:rPr>
          <w:rFonts w:hint="default" w:ascii="Times New Roman" w:hAnsi="Times New Roman" w:eastAsia="黑体" w:cs="Times New Roman"/>
          <w:bCs/>
          <w:color w:val="auto"/>
          <w:spacing w:val="0"/>
          <w:kern w:val="18"/>
          <w:sz w:val="32"/>
          <w:szCs w:val="32"/>
          <w:highlight w:val="none"/>
        </w:rPr>
        <w:t>年财政工作主要特点</w:t>
      </w:r>
    </w:p>
    <w:p>
      <w:pPr>
        <w:pStyle w:val="8"/>
        <w:keepNext w:val="0"/>
        <w:keepLines w:val="0"/>
        <w:pageBreakBefore w:val="0"/>
        <w:widowControl w:val="0"/>
        <w:numPr>
          <w:ilvl w:val="0"/>
          <w:numId w:val="2"/>
        </w:numPr>
        <w:kinsoku/>
        <w:wordWrap/>
        <w:overflowPunct/>
        <w:topLinePunct w:val="0"/>
        <w:autoSpaceDE/>
        <w:autoSpaceDN/>
        <w:bidi w:val="0"/>
        <w:spacing w:line="360" w:lineRule="auto"/>
        <w:ind w:firstLine="640"/>
        <w:jc w:val="both"/>
        <w:textAlignment w:val="auto"/>
        <w:rPr>
          <w:rFonts w:hint="eastAsia" w:ascii="楷体_GB2312" w:hAnsi="楷体_GB2312" w:eastAsia="楷体_GB2312" w:cs="楷体_GB2312"/>
          <w:b/>
          <w:bCs w:val="0"/>
          <w:color w:val="auto"/>
          <w:spacing w:val="0"/>
          <w:kern w:val="18"/>
          <w:sz w:val="32"/>
          <w:szCs w:val="32"/>
          <w:highlight w:val="none"/>
          <w:lang w:val="en-US" w:eastAsia="zh-CN"/>
        </w:rPr>
      </w:pPr>
      <w:r>
        <w:rPr>
          <w:rFonts w:hint="eastAsia" w:ascii="楷体_GB2312" w:hAnsi="楷体_GB2312" w:eastAsia="楷体_GB2312" w:cs="楷体_GB2312"/>
          <w:b/>
          <w:bCs w:val="0"/>
          <w:color w:val="auto"/>
          <w:spacing w:val="0"/>
          <w:kern w:val="18"/>
          <w:sz w:val="32"/>
          <w:szCs w:val="32"/>
          <w:highlight w:val="none"/>
          <w:lang w:val="en-US" w:eastAsia="zh-CN"/>
        </w:rPr>
        <w:t>大力组织财政收入，提高财政保障水平</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lang w:val="en-US" w:eastAsia="zh-CN"/>
        </w:rPr>
      </w:pPr>
      <w:r>
        <w:rPr>
          <w:rFonts w:hint="default" w:ascii="Times New Roman" w:hAnsi="Times New Roman" w:eastAsia="仿宋_GB2312" w:cs="Times New Roman"/>
          <w:b w:val="0"/>
          <w:bCs w:val="0"/>
          <w:color w:val="auto"/>
          <w:spacing w:val="0"/>
          <w:sz w:val="32"/>
          <w:szCs w:val="32"/>
          <w:highlight w:val="none"/>
          <w:lang w:val="en-US" w:eastAsia="zh-CN"/>
        </w:rPr>
        <w:t>一是加强财税协作，强化税收征管，坚持开源和挖潜相结合，扩大收入盘子。继续完善重点税源服务管理，做好动态分析和预测工作</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b w:val="0"/>
          <w:bCs w:val="0"/>
          <w:color w:val="auto"/>
          <w:spacing w:val="0"/>
          <w:sz w:val="32"/>
          <w:szCs w:val="32"/>
          <w:highlight w:val="none"/>
          <w:lang w:val="en-US" w:eastAsia="zh-CN"/>
        </w:rPr>
        <w:t>重点加强出口退（免）税企业、厨卫家电行业及建安行业跨区域涉税管理；用好用足税收优惠政策，通过招商引资，引进大项目、好项目，涵养培植优质税源。二是大力盘活存量资产资源，不断壮大非税收入</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蛋糕</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，有效保障</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三保</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支出足额、及时。全年镇级非税收入入库22,775万元，完成年度目标1.9亿元的119.9%，其中实现供水一盘棋项目入库8,856万元、</w:t>
      </w:r>
      <w:r>
        <w:rPr>
          <w:rFonts w:hint="default" w:ascii="Times New Roman" w:hAnsi="Times New Roman" w:eastAsia="仿宋_GB2312" w:cs="Times New Roman"/>
          <w:snapToGrid w:val="0"/>
          <w:color w:val="auto"/>
          <w:spacing w:val="0"/>
          <w:kern w:val="0"/>
          <w:sz w:val="32"/>
          <w:szCs w:val="32"/>
          <w:highlight w:val="none"/>
          <w:lang w:val="en-US" w:eastAsia="zh-CN" w:bidi="ar-SA"/>
        </w:rPr>
        <w:t>公有物业首期款</w:t>
      </w:r>
      <w:r>
        <w:rPr>
          <w:rFonts w:hint="default" w:ascii="Times New Roman" w:hAnsi="Times New Roman" w:eastAsia="仿宋_GB2312" w:cs="Times New Roman"/>
          <w:b w:val="0"/>
          <w:bCs w:val="0"/>
          <w:color w:val="auto"/>
          <w:spacing w:val="0"/>
          <w:sz w:val="32"/>
          <w:szCs w:val="32"/>
          <w:highlight w:val="none"/>
          <w:lang w:val="en-US" w:eastAsia="zh-CN"/>
        </w:rPr>
        <w:t>入库4,217万元。三是充分利用积极财政政策，大力争取专项债券推动发展，2023年新增专项债券资金52,470万元，重点投向治水、乡村振兴、公共基础设施等领域，有效解决了重大项目建设</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钱从哪里来</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lang w:val="en-US" w:eastAsia="zh-CN"/>
        </w:rPr>
        <w:t>的问题。</w:t>
      </w:r>
    </w:p>
    <w:p>
      <w:pPr>
        <w:pStyle w:val="8"/>
        <w:keepNext w:val="0"/>
        <w:keepLines w:val="0"/>
        <w:pageBreakBefore w:val="0"/>
        <w:widowControl w:val="0"/>
        <w:numPr>
          <w:ilvl w:val="0"/>
          <w:numId w:val="2"/>
        </w:numPr>
        <w:kinsoku/>
        <w:wordWrap/>
        <w:overflowPunct/>
        <w:topLinePunct w:val="0"/>
        <w:autoSpaceDE/>
        <w:autoSpaceDN/>
        <w:bidi w:val="0"/>
        <w:spacing w:line="360" w:lineRule="auto"/>
        <w:ind w:firstLine="640"/>
        <w:jc w:val="both"/>
        <w:textAlignment w:val="auto"/>
        <w:rPr>
          <w:rFonts w:hint="default" w:ascii="楷体_GB2312" w:hAnsi="楷体_GB2312" w:eastAsia="楷体_GB2312" w:cs="楷体_GB2312"/>
          <w:b/>
          <w:bCs w:val="0"/>
          <w:color w:val="auto"/>
          <w:spacing w:val="0"/>
          <w:kern w:val="18"/>
          <w:sz w:val="32"/>
          <w:szCs w:val="32"/>
          <w:highlight w:val="none"/>
          <w:lang w:val="en-US" w:eastAsia="zh-CN"/>
        </w:rPr>
      </w:pPr>
      <w:r>
        <w:rPr>
          <w:rFonts w:hint="default" w:ascii="楷体_GB2312" w:hAnsi="楷体_GB2312" w:eastAsia="楷体_GB2312" w:cs="楷体_GB2312"/>
          <w:b/>
          <w:bCs w:val="0"/>
          <w:color w:val="auto"/>
          <w:spacing w:val="0"/>
          <w:kern w:val="18"/>
          <w:sz w:val="32"/>
          <w:szCs w:val="32"/>
          <w:highlight w:val="none"/>
          <w:lang w:val="en-US" w:eastAsia="zh-CN"/>
        </w:rPr>
        <w:t>持续保障民生投入，民生兜底更有力</w:t>
      </w:r>
    </w:p>
    <w:p>
      <w:pPr>
        <w:pStyle w:val="8"/>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b w:val="0"/>
          <w:bCs w:val="0"/>
          <w:color w:val="auto"/>
          <w:spacing w:val="0"/>
          <w:kern w:val="2"/>
          <w:sz w:val="32"/>
          <w:szCs w:val="32"/>
          <w:highlight w:val="none"/>
          <w:lang w:val="en-US" w:eastAsia="zh-CN" w:bidi="ar-SA"/>
        </w:rPr>
      </w:pPr>
      <w:r>
        <w:rPr>
          <w:rFonts w:hint="default" w:ascii="Times New Roman" w:hAnsi="Times New Roman" w:eastAsia="仿宋_GB2312" w:cs="Times New Roman"/>
          <w:b w:val="0"/>
          <w:bCs w:val="0"/>
          <w:color w:val="auto"/>
          <w:spacing w:val="0"/>
          <w:kern w:val="2"/>
          <w:sz w:val="32"/>
          <w:szCs w:val="32"/>
          <w:highlight w:val="none"/>
          <w:lang w:val="en-US" w:eastAsia="zh-CN" w:bidi="ar-SA"/>
        </w:rPr>
        <w:t>一是落实群众就业创业帮扶政策，投入668万元用于职业技能提升、加大就业补贴力度，支持经营主体纾解困难、稳定岗位。落实</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三支一扶</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计划，多渠道促进青年就业创业。二是支持教育均衡发展，</w:t>
      </w:r>
      <w:r>
        <w:rPr>
          <w:rFonts w:hint="default" w:ascii="Times New Roman" w:hAnsi="Times New Roman" w:eastAsia="仿宋_GB2312" w:cs="Times New Roman"/>
          <w:b w:val="0"/>
          <w:bCs w:val="0"/>
          <w:color w:val="000000" w:themeColor="text1"/>
          <w:spacing w:val="0"/>
          <w:kern w:val="2"/>
          <w:sz w:val="32"/>
          <w:szCs w:val="32"/>
          <w:highlight w:val="none"/>
          <w:lang w:val="en-US" w:eastAsia="zh-CN" w:bidi="ar-SA"/>
          <w14:textFill>
            <w14:solidFill>
              <w14:schemeClr w14:val="tx1"/>
            </w14:solidFill>
          </w14:textFill>
        </w:rPr>
        <w:t>投入4,300万元</w:t>
      </w:r>
      <w:r>
        <w:rPr>
          <w:rFonts w:hint="eastAsia" w:eastAsia="仿宋_GB2312" w:cs="Times New Roman"/>
          <w:b w:val="0"/>
          <w:bCs w:val="0"/>
          <w:color w:val="000000" w:themeColor="text1"/>
          <w:spacing w:val="0"/>
          <w:kern w:val="2"/>
          <w:sz w:val="32"/>
          <w:szCs w:val="32"/>
          <w:highlight w:val="none"/>
          <w:lang w:val="en-US" w:eastAsia="zh-CN" w:bidi="ar-SA"/>
          <w14:textFill>
            <w14:solidFill>
              <w14:schemeClr w14:val="tx1"/>
            </w14:solidFill>
          </w14:textFill>
        </w:rPr>
        <w:t>强化教育供给</w:t>
      </w:r>
      <w:r>
        <w:rPr>
          <w:rFonts w:hint="default" w:ascii="Times New Roman" w:hAnsi="Times New Roman" w:eastAsia="仿宋_GB2312" w:cs="Times New Roman"/>
          <w:b w:val="0"/>
          <w:bCs w:val="0"/>
          <w:color w:val="000000" w:themeColor="text1"/>
          <w:spacing w:val="0"/>
          <w:kern w:val="2"/>
          <w:sz w:val="32"/>
          <w:szCs w:val="32"/>
          <w:highlight w:val="none"/>
          <w:lang w:val="en-US" w:eastAsia="zh-CN" w:bidi="ar-SA"/>
          <w14:textFill>
            <w14:solidFill>
              <w14:schemeClr w14:val="tx1"/>
            </w14:solidFill>
          </w14:textFill>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足额配套生均公用经费，</w:t>
      </w:r>
      <w:r>
        <w:rPr>
          <w:rFonts w:hint="eastAsia" w:eastAsia="仿宋_GB2312" w:cs="Times New Roman"/>
          <w:b w:val="0"/>
          <w:bCs w:val="0"/>
          <w:color w:val="auto"/>
          <w:spacing w:val="0"/>
          <w:kern w:val="2"/>
          <w:sz w:val="32"/>
          <w:szCs w:val="32"/>
          <w:highlight w:val="none"/>
          <w:lang w:val="en-US" w:eastAsia="zh-CN" w:bidi="ar-SA"/>
        </w:rPr>
        <w:t>推动</w:t>
      </w:r>
      <w:r>
        <w:rPr>
          <w:rFonts w:hint="default" w:ascii="Times New Roman" w:hAnsi="Times New Roman" w:eastAsia="仿宋_GB2312" w:cs="Times New Roman"/>
          <w:b w:val="0"/>
          <w:bCs w:val="0"/>
          <w:color w:val="auto"/>
          <w:spacing w:val="0"/>
          <w:kern w:val="2"/>
          <w:sz w:val="32"/>
          <w:szCs w:val="32"/>
          <w:highlight w:val="none"/>
          <w:lang w:val="en-US" w:eastAsia="zh-CN" w:bidi="ar-SA"/>
        </w:rPr>
        <w:t>教育工作有序开展。三是提升医疗卫生服务能力，投入5,500万元支持公共卫生体系建设，将基本公共卫生服务经费人均财政补助标准提高至89元，成功创建三级综合医院</w:t>
      </w:r>
      <w:r>
        <w:rPr>
          <w:rFonts w:hint="eastAsia" w:eastAsia="仿宋_GB2312" w:cs="Times New Roman"/>
          <w:b w:val="0"/>
          <w:bCs w:val="0"/>
          <w:color w:val="auto"/>
          <w:spacing w:val="0"/>
          <w:kern w:val="2"/>
          <w:sz w:val="32"/>
          <w:szCs w:val="32"/>
          <w:highlight w:val="none"/>
          <w:lang w:val="en-US" w:eastAsia="zh-CN" w:bidi="ar-SA"/>
        </w:rPr>
        <w:t>和区域中心医院</w:t>
      </w:r>
      <w:r>
        <w:rPr>
          <w:rFonts w:hint="default" w:ascii="Times New Roman" w:hAnsi="Times New Roman" w:eastAsia="仿宋_GB2312" w:cs="Times New Roman"/>
          <w:b w:val="0"/>
          <w:bCs w:val="0"/>
          <w:color w:val="auto"/>
          <w:spacing w:val="0"/>
          <w:kern w:val="2"/>
          <w:sz w:val="32"/>
          <w:szCs w:val="32"/>
          <w:highlight w:val="none"/>
          <w:lang w:val="en-US" w:eastAsia="zh-CN" w:bidi="ar-SA"/>
        </w:rPr>
        <w:t>。四是投入2,800万元强化基本医保、医疗救助综合保障功能，城乡居民基本医疗保险费用按每人每年694.08元进行财政补助。五是加强社会福利事业保障工作，投入3,700万元统筹做好拥军优抚、低保、特困人员救助供养、扶危济困等基本生活保障工作。</w:t>
      </w:r>
    </w:p>
    <w:p>
      <w:pPr>
        <w:pStyle w:val="8"/>
        <w:keepNext w:val="0"/>
        <w:keepLines w:val="0"/>
        <w:pageBreakBefore w:val="0"/>
        <w:widowControl w:val="0"/>
        <w:numPr>
          <w:ilvl w:val="0"/>
          <w:numId w:val="2"/>
        </w:numPr>
        <w:kinsoku/>
        <w:wordWrap/>
        <w:overflowPunct/>
        <w:topLinePunct w:val="0"/>
        <w:autoSpaceDE/>
        <w:autoSpaceDN/>
        <w:bidi w:val="0"/>
        <w:spacing w:line="360" w:lineRule="auto"/>
        <w:ind w:firstLine="640"/>
        <w:jc w:val="both"/>
        <w:textAlignment w:val="auto"/>
        <w:rPr>
          <w:rFonts w:hint="default" w:ascii="楷体_GB2312" w:hAnsi="楷体_GB2312" w:eastAsia="楷体_GB2312" w:cs="楷体_GB2312"/>
          <w:b/>
          <w:bCs w:val="0"/>
          <w:color w:val="auto"/>
          <w:spacing w:val="0"/>
          <w:kern w:val="18"/>
          <w:sz w:val="32"/>
          <w:szCs w:val="32"/>
          <w:highlight w:val="none"/>
          <w:lang w:val="en-US" w:eastAsia="zh-CN"/>
        </w:rPr>
      </w:pPr>
      <w:r>
        <w:rPr>
          <w:rFonts w:hint="default" w:ascii="楷体_GB2312" w:hAnsi="楷体_GB2312" w:eastAsia="楷体_GB2312" w:cs="楷体_GB2312"/>
          <w:b/>
          <w:bCs w:val="0"/>
          <w:color w:val="auto"/>
          <w:spacing w:val="0"/>
          <w:kern w:val="18"/>
          <w:sz w:val="32"/>
          <w:szCs w:val="32"/>
          <w:highlight w:val="none"/>
          <w:lang w:val="en-US" w:eastAsia="zh-CN"/>
        </w:rPr>
        <w:t>稳步推进</w:t>
      </w:r>
      <w:r>
        <w:rPr>
          <w:rFonts w:hint="eastAsia" w:ascii="楷体_GB2312" w:hAnsi="楷体_GB2312" w:eastAsia="楷体_GB2312" w:cs="楷体_GB2312"/>
          <w:b/>
          <w:bCs w:val="0"/>
          <w:color w:val="auto"/>
          <w:spacing w:val="0"/>
          <w:kern w:val="18"/>
          <w:sz w:val="32"/>
          <w:szCs w:val="32"/>
          <w:highlight w:val="none"/>
          <w:lang w:val="en-US" w:eastAsia="zh-CN"/>
        </w:rPr>
        <w:t>城</w:t>
      </w:r>
      <w:r>
        <w:rPr>
          <w:rFonts w:hint="default" w:ascii="楷体_GB2312" w:hAnsi="楷体_GB2312" w:eastAsia="楷体_GB2312" w:cs="楷体_GB2312"/>
          <w:b/>
          <w:bCs w:val="0"/>
          <w:color w:val="auto"/>
          <w:spacing w:val="0"/>
          <w:kern w:val="18"/>
          <w:sz w:val="32"/>
          <w:szCs w:val="32"/>
          <w:highlight w:val="none"/>
          <w:lang w:val="en-US" w:eastAsia="zh-CN"/>
        </w:rPr>
        <w:t>乡建设，重大项目建设加速推进</w:t>
      </w:r>
    </w:p>
    <w:p>
      <w:pPr>
        <w:pStyle w:val="8"/>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b w:val="0"/>
          <w:bCs w:val="0"/>
          <w:color w:val="auto"/>
          <w:spacing w:val="0"/>
          <w:kern w:val="2"/>
          <w:sz w:val="32"/>
          <w:szCs w:val="32"/>
          <w:highlight w:val="none"/>
          <w:lang w:val="en-US" w:eastAsia="zh-CN" w:bidi="ar-SA"/>
        </w:rPr>
      </w:pPr>
      <w:r>
        <w:rPr>
          <w:rFonts w:hint="default" w:ascii="Times New Roman" w:hAnsi="Times New Roman" w:eastAsia="仿宋_GB2312" w:cs="Times New Roman"/>
          <w:b w:val="0"/>
          <w:bCs w:val="0"/>
          <w:color w:val="auto"/>
          <w:spacing w:val="0"/>
          <w:kern w:val="2"/>
          <w:sz w:val="32"/>
          <w:szCs w:val="32"/>
          <w:highlight w:val="none"/>
          <w:lang w:val="en-US" w:eastAsia="zh-CN" w:bidi="ar-SA"/>
        </w:rPr>
        <w:t>一是投入6,900万元支持乡村振兴。加快</w:t>
      </w:r>
      <w:r>
        <w:rPr>
          <w:rFonts w:hint="eastAsia" w:eastAsia="仿宋_GB2312" w:cs="Times New Roman"/>
          <w:b w:val="0"/>
          <w:bCs w:val="0"/>
          <w:color w:val="auto"/>
          <w:spacing w:val="0"/>
          <w:kern w:val="2"/>
          <w:sz w:val="32"/>
          <w:szCs w:val="32"/>
          <w:highlight w:val="none"/>
          <w:lang w:val="en-US" w:eastAsia="zh-CN" w:bidi="ar-SA"/>
        </w:rPr>
        <w:t>省级</w:t>
      </w:r>
      <w:r>
        <w:rPr>
          <w:rFonts w:hint="default" w:ascii="Times New Roman" w:hAnsi="Times New Roman" w:eastAsia="仿宋_GB2312" w:cs="Times New Roman"/>
          <w:b w:val="0"/>
          <w:bCs w:val="0"/>
          <w:color w:val="auto"/>
          <w:spacing w:val="0"/>
          <w:kern w:val="2"/>
          <w:sz w:val="32"/>
          <w:szCs w:val="32"/>
          <w:highlight w:val="none"/>
          <w:lang w:val="en-US" w:eastAsia="zh-CN" w:bidi="ar-SA"/>
        </w:rPr>
        <w:t>现代农业产业园建设，扶持发展新型农村集体经济，实施黄圃镇信息通信新基建光纤融合网工程、养殖池塘标准化改造和尾水治理项目，建设美丽宜居新农村。二是投入7亿元打好</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工改</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eastAsia"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治水两大</w:t>
      </w:r>
      <w:r>
        <w:rPr>
          <w:rFonts w:hint="eastAsia" w:eastAsia="仿宋_GB2312" w:cs="Times New Roman"/>
          <w:b w:val="0"/>
          <w:bCs w:val="0"/>
          <w:color w:val="auto"/>
          <w:spacing w:val="0"/>
          <w:kern w:val="2"/>
          <w:sz w:val="32"/>
          <w:szCs w:val="32"/>
          <w:highlight w:val="none"/>
          <w:lang w:val="en-US" w:eastAsia="zh-CN" w:bidi="ar-SA"/>
        </w:rPr>
        <w:t>攻坚战</w:t>
      </w:r>
      <w:r>
        <w:rPr>
          <w:rFonts w:hint="default" w:ascii="Times New Roman" w:hAnsi="Times New Roman" w:eastAsia="仿宋_GB2312" w:cs="Times New Roman"/>
          <w:b w:val="0"/>
          <w:bCs w:val="0"/>
          <w:color w:val="auto"/>
          <w:spacing w:val="0"/>
          <w:kern w:val="2"/>
          <w:sz w:val="32"/>
          <w:szCs w:val="32"/>
          <w:highlight w:val="none"/>
          <w:lang w:val="en-US" w:eastAsia="zh-CN" w:bidi="ar-SA"/>
        </w:rPr>
        <w:t>，支持</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百千万工程</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。一方面做好土地开发、项目引进大文章</w:t>
      </w:r>
      <w:r>
        <w:rPr>
          <w:rFonts w:hint="eastAsia" w:eastAsia="仿宋_GB2312" w:cs="Times New Roman"/>
          <w:b w:val="0"/>
          <w:bCs w:val="0"/>
          <w:color w:val="auto"/>
          <w:spacing w:val="0"/>
          <w:kern w:val="2"/>
          <w:sz w:val="32"/>
          <w:szCs w:val="32"/>
          <w:highlight w:val="none"/>
          <w:lang w:val="en-US" w:eastAsia="zh-CN" w:bidi="ar-SA"/>
        </w:rPr>
        <w:t>，推动大岑工改项目一期完成土地整备，</w:t>
      </w:r>
      <w:r>
        <w:rPr>
          <w:rFonts w:hint="default" w:ascii="Times New Roman" w:hAnsi="Times New Roman" w:eastAsia="仿宋_GB2312" w:cs="Times New Roman"/>
          <w:b w:val="0"/>
          <w:bCs w:val="0"/>
          <w:color w:val="auto"/>
          <w:spacing w:val="0"/>
          <w:kern w:val="2"/>
          <w:sz w:val="32"/>
          <w:szCs w:val="32"/>
          <w:highlight w:val="none"/>
          <w:lang w:val="en-US" w:eastAsia="zh-CN" w:bidi="ar-SA"/>
        </w:rPr>
        <w:t>加快</w:t>
      </w:r>
      <w:r>
        <w:rPr>
          <w:rFonts w:hint="eastAsia" w:eastAsia="仿宋_GB2312" w:cs="Times New Roman"/>
          <w:b w:val="0"/>
          <w:bCs w:val="0"/>
          <w:color w:val="auto"/>
          <w:spacing w:val="0"/>
          <w:kern w:val="2"/>
          <w:sz w:val="32"/>
          <w:szCs w:val="32"/>
          <w:highlight w:val="none"/>
          <w:lang w:val="en-US" w:eastAsia="zh-CN" w:bidi="ar-SA"/>
        </w:rPr>
        <w:t>中山智能家电产业园（黄圃片区）</w:t>
      </w:r>
      <w:r>
        <w:rPr>
          <w:rFonts w:hint="default" w:ascii="Times New Roman" w:hAnsi="Times New Roman" w:eastAsia="仿宋_GB2312" w:cs="Times New Roman"/>
          <w:b w:val="0"/>
          <w:bCs w:val="0"/>
          <w:color w:val="auto"/>
          <w:spacing w:val="0"/>
          <w:kern w:val="2"/>
          <w:sz w:val="32"/>
          <w:szCs w:val="32"/>
          <w:highlight w:val="none"/>
          <w:lang w:val="en-US" w:eastAsia="zh-CN" w:bidi="ar-SA"/>
        </w:rPr>
        <w:t>建设步伐。另一方面积极发挥专项债券促项目作用，为补齐民生基础设施建设短板提供财力支撑，建设</w:t>
      </w:r>
      <w:r>
        <w:rPr>
          <w:rFonts w:hint="eastAsia" w:eastAsia="仿宋_GB2312" w:cs="Times New Roman"/>
          <w:b w:val="0"/>
          <w:bCs w:val="0"/>
          <w:color w:val="auto"/>
          <w:spacing w:val="0"/>
          <w:kern w:val="2"/>
          <w:sz w:val="32"/>
          <w:szCs w:val="32"/>
          <w:highlight w:val="none"/>
          <w:lang w:val="en-US" w:eastAsia="zh-CN" w:bidi="ar-SA"/>
        </w:rPr>
        <w:t>大岑工改一阶段通路。新丰八号路、圃港路、大雁片路网、成业大道一期等</w:t>
      </w:r>
      <w:r>
        <w:rPr>
          <w:rFonts w:hint="default" w:ascii="Times New Roman" w:hAnsi="Times New Roman" w:eastAsia="仿宋_GB2312" w:cs="Times New Roman"/>
          <w:b w:val="0"/>
          <w:bCs w:val="0"/>
          <w:color w:val="auto"/>
          <w:spacing w:val="0"/>
          <w:kern w:val="2"/>
          <w:sz w:val="32"/>
          <w:szCs w:val="32"/>
          <w:highlight w:val="none"/>
          <w:lang w:val="en-US" w:eastAsia="zh-CN" w:bidi="ar-SA"/>
        </w:rPr>
        <w:t>一批重点交通基础设施和治污项目。</w:t>
      </w:r>
    </w:p>
    <w:p>
      <w:pPr>
        <w:pStyle w:val="8"/>
        <w:keepNext w:val="0"/>
        <w:keepLines w:val="0"/>
        <w:pageBreakBefore w:val="0"/>
        <w:widowControl w:val="0"/>
        <w:numPr>
          <w:ilvl w:val="0"/>
          <w:numId w:val="0"/>
        </w:numPr>
        <w:kinsoku/>
        <w:wordWrap/>
        <w:overflowPunct/>
        <w:topLinePunct w:val="0"/>
        <w:autoSpaceDE/>
        <w:autoSpaceDN/>
        <w:bidi w:val="0"/>
        <w:spacing w:line="360" w:lineRule="auto"/>
        <w:ind w:firstLine="643" w:firstLineChars="200"/>
        <w:jc w:val="both"/>
        <w:textAlignment w:val="auto"/>
        <w:rPr>
          <w:rFonts w:hint="default" w:ascii="楷体_GB2312" w:hAnsi="楷体_GB2312" w:eastAsia="楷体_GB2312" w:cs="楷体_GB2312"/>
          <w:b/>
          <w:bCs w:val="0"/>
          <w:color w:val="auto"/>
          <w:spacing w:val="0"/>
          <w:kern w:val="18"/>
          <w:sz w:val="32"/>
          <w:szCs w:val="32"/>
          <w:highlight w:val="none"/>
          <w:lang w:val="en-US" w:eastAsia="zh-CN"/>
        </w:rPr>
      </w:pPr>
      <w:r>
        <w:rPr>
          <w:rFonts w:hint="default" w:ascii="楷体_GB2312" w:hAnsi="楷体_GB2312" w:eastAsia="楷体_GB2312" w:cs="楷体_GB2312"/>
          <w:b/>
          <w:bCs w:val="0"/>
          <w:color w:val="auto"/>
          <w:spacing w:val="0"/>
          <w:kern w:val="18"/>
          <w:sz w:val="32"/>
          <w:szCs w:val="32"/>
          <w:highlight w:val="none"/>
          <w:lang w:val="en-US" w:eastAsia="zh-CN"/>
        </w:rPr>
        <w:t>（四）强化财政监督，推动财政资金聚力增效</w:t>
      </w:r>
    </w:p>
    <w:p>
      <w:pPr>
        <w:pStyle w:val="8"/>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b w:val="0"/>
          <w:bCs w:val="0"/>
          <w:color w:val="auto"/>
          <w:spacing w:val="0"/>
          <w:kern w:val="2"/>
          <w:sz w:val="32"/>
          <w:szCs w:val="32"/>
          <w:highlight w:val="none"/>
          <w:lang w:val="en-US" w:eastAsia="zh-CN" w:bidi="ar-SA"/>
        </w:rPr>
      </w:pPr>
      <w:r>
        <w:rPr>
          <w:rFonts w:hint="default" w:ascii="Times New Roman" w:hAnsi="Times New Roman" w:eastAsia="仿宋_GB2312" w:cs="Times New Roman"/>
          <w:b w:val="0"/>
          <w:bCs w:val="0"/>
          <w:color w:val="auto"/>
          <w:spacing w:val="0"/>
          <w:kern w:val="2"/>
          <w:sz w:val="32"/>
          <w:szCs w:val="32"/>
          <w:highlight w:val="none"/>
          <w:lang w:val="en-US" w:eastAsia="zh-CN" w:bidi="ar-SA"/>
        </w:rPr>
        <w:t>一是充分用好财政资金直达机制，推动惠企利民资金</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一竿子插到底</w:t>
      </w:r>
      <w:r>
        <w:rPr>
          <w:rFonts w:hint="eastAsia" w:ascii="Times New Roman" w:hAnsi="Times New Roman" w:eastAsia="仿宋_GB2312" w:cs="Times New Roman"/>
          <w:b w:val="0"/>
          <w:bCs w:val="0"/>
          <w:color w:val="auto"/>
          <w:spacing w:val="0"/>
          <w:kern w:val="2"/>
          <w:sz w:val="32"/>
          <w:szCs w:val="32"/>
          <w:highlight w:val="none"/>
          <w:lang w:val="en-US" w:eastAsia="zh-CN" w:bidi="ar-SA"/>
        </w:rPr>
        <w:t>”</w:t>
      </w:r>
      <w:r>
        <w:rPr>
          <w:rFonts w:hint="default" w:ascii="Times New Roman" w:hAnsi="Times New Roman" w:eastAsia="仿宋_GB2312" w:cs="Times New Roman"/>
          <w:b w:val="0"/>
          <w:bCs w:val="0"/>
          <w:color w:val="auto"/>
          <w:spacing w:val="0"/>
          <w:kern w:val="2"/>
          <w:sz w:val="32"/>
          <w:szCs w:val="32"/>
          <w:highlight w:val="none"/>
          <w:lang w:val="en-US" w:eastAsia="zh-CN" w:bidi="ar-SA"/>
        </w:rPr>
        <w:t>。实施资金动态全过程跟踪监测，确保资金使用规范、安全、高效，政策红利直达快享，全年拨付直达资金4,438万元，涵盖教育、医疗卫生、社会保障、农业</w:t>
      </w:r>
      <w:r>
        <w:rPr>
          <w:rFonts w:hint="eastAsia" w:eastAsia="仿宋_GB2312" w:cs="Times New Roman"/>
          <w:b w:val="0"/>
          <w:bCs w:val="0"/>
          <w:color w:val="auto"/>
          <w:spacing w:val="0"/>
          <w:kern w:val="2"/>
          <w:sz w:val="32"/>
          <w:szCs w:val="32"/>
          <w:highlight w:val="none"/>
          <w:lang w:val="en-US" w:eastAsia="zh-CN" w:bidi="ar-SA"/>
        </w:rPr>
        <w:t>农村</w:t>
      </w:r>
      <w:r>
        <w:rPr>
          <w:rFonts w:hint="default" w:ascii="Times New Roman" w:hAnsi="Times New Roman" w:eastAsia="仿宋_GB2312" w:cs="Times New Roman"/>
          <w:b w:val="0"/>
          <w:bCs w:val="0"/>
          <w:color w:val="auto"/>
          <w:spacing w:val="0"/>
          <w:kern w:val="2"/>
          <w:sz w:val="32"/>
          <w:szCs w:val="32"/>
          <w:highlight w:val="none"/>
          <w:lang w:val="en-US" w:eastAsia="zh-CN" w:bidi="ar-SA"/>
        </w:rPr>
        <w:t>等领域。二是强化预算绩效管理，提高资金使用效益。事前绩效评审工作成效显著，全年累计完成25个项目事前绩效评审工作，节约财政资金14,084万元，核减率为10.4%；绩效结果应用持续加强，对财政支出项目开展自评及自评核查、重点绩效评价、部门整体绩效评价，绩效评价结果作为2024年度安排预算和改进管理的重要依据。三是加强工程建设项目预、结算审核。全年累计完成投资评审项目77个，其中预算审核项目30个，节约财政资金2,377万元，核减率为4.5%；完成结算审核（含复核）项目47个，节约财政资金1,207万元，核减率为3.4%。</w:t>
      </w:r>
    </w:p>
    <w:p>
      <w:pPr>
        <w:pStyle w:val="8"/>
        <w:keepNext w:val="0"/>
        <w:keepLines w:val="0"/>
        <w:pageBreakBefore w:val="0"/>
        <w:widowControl w:val="0"/>
        <w:numPr>
          <w:ilvl w:val="0"/>
          <w:numId w:val="0"/>
        </w:numPr>
        <w:kinsoku/>
        <w:wordWrap/>
        <w:overflowPunct/>
        <w:topLinePunct w:val="0"/>
        <w:autoSpaceDE/>
        <w:autoSpaceDN/>
        <w:bidi w:val="0"/>
        <w:spacing w:line="360" w:lineRule="auto"/>
        <w:ind w:left="640" w:leftChars="0" w:firstLine="480" w:firstLineChars="200"/>
        <w:jc w:val="both"/>
        <w:textAlignment w:val="auto"/>
        <w:rPr>
          <w:rFonts w:hint="default" w:ascii="Times New Roman" w:hAnsi="Times New Roman" w:eastAsia="宋体" w:cs="Times New Roman"/>
          <w:i w:val="0"/>
          <w:iCs w:val="0"/>
          <w:caps w:val="0"/>
          <w:color w:val="auto"/>
          <w:spacing w:val="0"/>
          <w:kern w:val="0"/>
          <w:sz w:val="24"/>
          <w:szCs w:val="24"/>
          <w:highlight w:val="none"/>
          <w:lang w:val="en-US" w:eastAsia="zh-CN" w:bidi="ar"/>
        </w:rPr>
      </w:pPr>
    </w:p>
    <w:p>
      <w:pPr>
        <w:pStyle w:val="8"/>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黑体" w:cs="Times New Roman"/>
          <w:color w:val="auto"/>
          <w:spacing w:val="0"/>
          <w:kern w:val="18"/>
          <w:sz w:val="36"/>
          <w:szCs w:val="36"/>
          <w:highlight w:val="none"/>
        </w:rPr>
      </w:pPr>
      <w:r>
        <w:rPr>
          <w:rFonts w:hint="default" w:ascii="Times New Roman" w:hAnsi="Times New Roman" w:eastAsia="黑体" w:cs="Times New Roman"/>
          <w:color w:val="auto"/>
          <w:spacing w:val="0"/>
          <w:kern w:val="18"/>
          <w:sz w:val="36"/>
          <w:szCs w:val="36"/>
          <w:highlight w:val="none"/>
        </w:rPr>
        <w:t>第二部分　</w:t>
      </w:r>
      <w:r>
        <w:rPr>
          <w:rFonts w:hint="default" w:ascii="Times New Roman" w:hAnsi="Times New Roman" w:eastAsia="黑体" w:cs="Times New Roman"/>
          <w:color w:val="auto"/>
          <w:spacing w:val="0"/>
          <w:kern w:val="18"/>
          <w:sz w:val="36"/>
          <w:szCs w:val="36"/>
          <w:highlight w:val="none"/>
          <w:lang w:eastAsia="zh-CN"/>
        </w:rPr>
        <w:t>2024</w:t>
      </w:r>
      <w:r>
        <w:rPr>
          <w:rFonts w:hint="default" w:ascii="Times New Roman" w:hAnsi="Times New Roman" w:eastAsia="黑体" w:cs="Times New Roman"/>
          <w:color w:val="auto"/>
          <w:spacing w:val="0"/>
          <w:kern w:val="18"/>
          <w:sz w:val="36"/>
          <w:szCs w:val="36"/>
          <w:highlight w:val="none"/>
        </w:rPr>
        <w:t>年财政预算草案</w:t>
      </w:r>
    </w:p>
    <w:p>
      <w:pPr>
        <w:pStyle w:val="8"/>
        <w:keepNext w:val="0"/>
        <w:keepLines w:val="0"/>
        <w:pageBreakBefore w:val="0"/>
        <w:widowControl w:val="0"/>
        <w:kinsoku/>
        <w:wordWrap/>
        <w:overflowPunct/>
        <w:topLinePunct w:val="0"/>
        <w:autoSpaceDE/>
        <w:autoSpaceDN/>
        <w:bidi w:val="0"/>
        <w:spacing w:line="360" w:lineRule="auto"/>
        <w:jc w:val="both"/>
        <w:textAlignment w:val="auto"/>
        <w:rPr>
          <w:rFonts w:hint="default" w:ascii="Times New Roman" w:hAnsi="Times New Roman" w:eastAsia="黑体" w:cs="Times New Roman"/>
          <w:b/>
          <w:bCs/>
          <w:color w:val="auto"/>
          <w:spacing w:val="0"/>
          <w:kern w:val="18"/>
          <w:highlight w:val="none"/>
        </w:rPr>
      </w:pPr>
    </w:p>
    <w:p>
      <w:pPr>
        <w:pStyle w:val="8"/>
        <w:keepNext w:val="0"/>
        <w:keepLines w:val="0"/>
        <w:pageBreakBefore w:val="0"/>
        <w:widowControl w:val="0"/>
        <w:kinsoku/>
        <w:wordWrap/>
        <w:overflowPunct/>
        <w:topLinePunct w:val="0"/>
        <w:autoSpaceDE/>
        <w:autoSpaceDN/>
        <w:bidi w:val="0"/>
        <w:spacing w:line="360" w:lineRule="auto"/>
        <w:ind w:firstLine="739"/>
        <w:jc w:val="both"/>
        <w:textAlignment w:val="auto"/>
        <w:rPr>
          <w:rFonts w:hint="default" w:ascii="Times New Roman" w:hAnsi="Times New Roman" w:eastAsia="黑体" w:cs="Times New Roman"/>
          <w:color w:val="auto"/>
          <w:spacing w:val="0"/>
          <w:kern w:val="18"/>
          <w:sz w:val="32"/>
          <w:szCs w:val="32"/>
          <w:highlight w:val="none"/>
          <w:lang w:val="en-US" w:eastAsia="zh-CN"/>
        </w:rPr>
      </w:pPr>
      <w:r>
        <w:rPr>
          <w:rFonts w:hint="default" w:ascii="Times New Roman" w:hAnsi="Times New Roman" w:eastAsia="黑体" w:cs="Times New Roman"/>
          <w:color w:val="auto"/>
          <w:spacing w:val="0"/>
          <w:kern w:val="18"/>
          <w:sz w:val="32"/>
          <w:szCs w:val="32"/>
          <w:highlight w:val="none"/>
        </w:rPr>
        <w:t>一、预算编制指导思想</w:t>
      </w:r>
      <w:r>
        <w:rPr>
          <w:rFonts w:hint="default" w:ascii="Times New Roman" w:hAnsi="Times New Roman" w:eastAsia="黑体" w:cs="Times New Roman"/>
          <w:color w:val="auto"/>
          <w:spacing w:val="0"/>
          <w:kern w:val="18"/>
          <w:sz w:val="32"/>
          <w:szCs w:val="32"/>
          <w:highlight w:val="none"/>
          <w:lang w:val="en-US" w:eastAsia="zh-CN"/>
        </w:rPr>
        <w:t>及基本原则</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default" w:ascii="Times New Roman" w:hAnsi="Times New Roman" w:cs="Times New Roman"/>
          <w:color w:val="auto"/>
          <w:spacing w:val="0"/>
          <w:highlight w:val="none"/>
          <w:lang w:val="en-US" w:eastAsia="zh-CN"/>
        </w:rPr>
      </w:pPr>
      <w:r>
        <w:rPr>
          <w:rFonts w:hint="default" w:ascii="Times New Roman" w:hAnsi="Times New Roman" w:eastAsia="仿宋_GB2312" w:cs="Times New Roman"/>
          <w:color w:val="auto"/>
          <w:spacing w:val="0"/>
          <w:sz w:val="32"/>
          <w:szCs w:val="32"/>
          <w:highlight w:val="none"/>
          <w:u w:val="none" w:color="auto"/>
        </w:rPr>
        <w:t>坚持以习近平新时代中国特色社会主义思想为指导，全面贯彻落实党的二十大精神</w:t>
      </w:r>
      <w:r>
        <w:rPr>
          <w:rFonts w:hint="default" w:ascii="Times New Roman" w:hAnsi="Times New Roman" w:eastAsia="仿宋_GB2312" w:cs="Times New Roman"/>
          <w:color w:val="auto"/>
          <w:spacing w:val="0"/>
          <w:sz w:val="32"/>
          <w:szCs w:val="32"/>
          <w:highlight w:val="none"/>
          <w:u w:val="none" w:color="auto"/>
          <w:lang w:eastAsia="zh-CN"/>
        </w:rPr>
        <w:t>，锚定</w:t>
      </w:r>
      <w:r>
        <w:rPr>
          <w:rFonts w:hint="default" w:ascii="Times New Roman" w:hAnsi="Times New Roman" w:eastAsia="仿宋_GB2312" w:cs="Times New Roman"/>
          <w:color w:val="auto"/>
          <w:spacing w:val="0"/>
          <w:sz w:val="32"/>
          <w:szCs w:val="32"/>
          <w:highlight w:val="none"/>
          <w:u w:val="none" w:color="auto"/>
          <w:lang w:val="en-US" w:eastAsia="zh-CN"/>
        </w:rPr>
        <w:t>黄圃</w:t>
      </w:r>
      <w:r>
        <w:rPr>
          <w:rFonts w:hint="default" w:ascii="Times New Roman" w:hAnsi="Times New Roman" w:eastAsia="仿宋_GB2312" w:cs="Times New Roman"/>
          <w:color w:val="auto"/>
          <w:spacing w:val="0"/>
          <w:sz w:val="32"/>
          <w:szCs w:val="32"/>
          <w:highlight w:val="none"/>
          <w:u w:val="none" w:color="auto"/>
          <w:lang w:eastAsia="zh-CN"/>
        </w:rPr>
        <w:t>高质量发展</w:t>
      </w:r>
      <w:r>
        <w:rPr>
          <w:rFonts w:hint="default" w:ascii="Times New Roman" w:hAnsi="Times New Roman" w:eastAsia="仿宋_GB2312" w:cs="Times New Roman"/>
          <w:color w:val="auto"/>
          <w:spacing w:val="0"/>
          <w:sz w:val="32"/>
          <w:szCs w:val="32"/>
          <w:highlight w:val="none"/>
          <w:u w:val="none" w:color="auto"/>
          <w:lang w:val="en-US" w:eastAsia="zh-CN"/>
        </w:rPr>
        <w:t>目标</w:t>
      </w:r>
      <w:r>
        <w:rPr>
          <w:rFonts w:hint="default" w:ascii="Times New Roman" w:hAnsi="Times New Roman" w:eastAsia="仿宋_GB2312" w:cs="Times New Roman"/>
          <w:color w:val="auto"/>
          <w:spacing w:val="0"/>
          <w:sz w:val="32"/>
          <w:szCs w:val="32"/>
          <w:highlight w:val="none"/>
          <w:u w:val="none" w:color="auto"/>
          <w:lang w:eastAsia="zh-CN"/>
        </w:rPr>
        <w:t>，</w:t>
      </w:r>
      <w:r>
        <w:rPr>
          <w:rFonts w:hint="default" w:ascii="Times New Roman" w:hAnsi="Times New Roman" w:eastAsia="仿宋_GB2312" w:cs="Times New Roman"/>
          <w:color w:val="auto"/>
          <w:spacing w:val="0"/>
          <w:sz w:val="32"/>
          <w:szCs w:val="32"/>
          <w:highlight w:val="none"/>
          <w:u w:val="none" w:color="auto"/>
          <w:lang w:val="en-US" w:eastAsia="zh-CN"/>
        </w:rPr>
        <w:t>预算编制严格落实</w:t>
      </w:r>
      <w:r>
        <w:rPr>
          <w:rFonts w:hint="default" w:ascii="Times New Roman" w:hAnsi="Times New Roman" w:eastAsia="仿宋_GB2312" w:cs="Times New Roman"/>
          <w:color w:val="auto"/>
          <w:spacing w:val="0"/>
          <w:sz w:val="32"/>
          <w:szCs w:val="32"/>
          <w:highlight w:val="none"/>
          <w:u w:val="none" w:color="auto"/>
          <w:lang w:eastAsia="zh-CN"/>
        </w:rPr>
        <w:t>以收定支，确保平衡；</w:t>
      </w:r>
      <w:r>
        <w:rPr>
          <w:rFonts w:hint="default" w:ascii="Times New Roman" w:hAnsi="Times New Roman" w:eastAsia="仿宋_GB2312" w:cs="Times New Roman"/>
          <w:color w:val="auto"/>
          <w:spacing w:val="0"/>
          <w:sz w:val="32"/>
          <w:szCs w:val="32"/>
          <w:highlight w:val="none"/>
          <w:u w:val="none" w:color="auto"/>
          <w:lang w:val="en-US" w:eastAsia="zh-CN"/>
        </w:rPr>
        <w:t>加强统筹，优化结构；突出重点，优先保障</w:t>
      </w:r>
      <w:r>
        <w:rPr>
          <w:rFonts w:hint="default" w:ascii="Times New Roman" w:hAnsi="Times New Roman" w:eastAsia="仿宋_GB2312" w:cs="Times New Roman"/>
          <w:color w:val="auto"/>
          <w:spacing w:val="0"/>
          <w:sz w:val="32"/>
          <w:szCs w:val="32"/>
          <w:highlight w:val="none"/>
          <w:u w:val="none" w:color="auto"/>
          <w:lang w:eastAsia="zh-CN"/>
        </w:rPr>
        <w:t>；</w:t>
      </w:r>
      <w:r>
        <w:rPr>
          <w:rFonts w:hint="default" w:ascii="Times New Roman" w:hAnsi="Times New Roman" w:eastAsia="仿宋_GB2312" w:cs="Times New Roman"/>
          <w:color w:val="auto"/>
          <w:spacing w:val="0"/>
          <w:sz w:val="32"/>
          <w:szCs w:val="32"/>
          <w:highlight w:val="none"/>
          <w:u w:val="none" w:color="auto"/>
          <w:lang w:val="en-US" w:eastAsia="zh-CN"/>
        </w:rPr>
        <w:t>厉行节约，节用裕民；绩效优先，提升质效</w:t>
      </w:r>
      <w:r>
        <w:rPr>
          <w:rFonts w:hint="default" w:ascii="Times New Roman" w:hAnsi="Times New Roman" w:eastAsia="仿宋_GB2312" w:cs="Times New Roman"/>
          <w:color w:val="auto"/>
          <w:spacing w:val="0"/>
          <w:sz w:val="32"/>
          <w:szCs w:val="32"/>
          <w:highlight w:val="none"/>
          <w:u w:val="none" w:color="auto"/>
          <w:lang w:eastAsia="zh-CN"/>
        </w:rPr>
        <w:t>；</w:t>
      </w:r>
      <w:r>
        <w:rPr>
          <w:rFonts w:hint="default" w:ascii="Times New Roman" w:hAnsi="Times New Roman" w:eastAsia="仿宋_GB2312" w:cs="Times New Roman"/>
          <w:color w:val="auto"/>
          <w:spacing w:val="0"/>
          <w:sz w:val="32"/>
          <w:szCs w:val="32"/>
          <w:highlight w:val="none"/>
          <w:u w:val="none" w:color="auto"/>
          <w:lang w:val="en-US" w:eastAsia="zh-CN"/>
        </w:rPr>
        <w:t>严肃纪律，硬化约束。</w:t>
      </w:r>
    </w:p>
    <w:p>
      <w:pPr>
        <w:pStyle w:val="8"/>
        <w:keepNext w:val="0"/>
        <w:keepLines w:val="0"/>
        <w:pageBreakBefore w:val="0"/>
        <w:widowControl w:val="0"/>
        <w:kinsoku/>
        <w:wordWrap/>
        <w:overflowPunct/>
        <w:topLinePunct w:val="0"/>
        <w:autoSpaceDE/>
        <w:autoSpaceDN/>
        <w:bidi w:val="0"/>
        <w:spacing w:line="360" w:lineRule="auto"/>
        <w:ind w:firstLine="739"/>
        <w:jc w:val="both"/>
        <w:textAlignment w:val="auto"/>
        <w:rPr>
          <w:rFonts w:hint="default" w:ascii="Times New Roman" w:hAnsi="Times New Roman" w:eastAsia="黑体" w:cs="Times New Roman"/>
          <w:color w:val="auto"/>
          <w:spacing w:val="0"/>
          <w:kern w:val="18"/>
          <w:sz w:val="32"/>
          <w:szCs w:val="32"/>
          <w:highlight w:val="none"/>
        </w:rPr>
      </w:pPr>
      <w:r>
        <w:rPr>
          <w:rFonts w:hint="default" w:ascii="Times New Roman" w:hAnsi="Times New Roman" w:eastAsia="黑体" w:cs="Times New Roman"/>
          <w:color w:val="auto"/>
          <w:spacing w:val="0"/>
          <w:kern w:val="18"/>
          <w:sz w:val="32"/>
          <w:szCs w:val="32"/>
          <w:highlight w:val="none"/>
          <w:lang w:val="en-US" w:eastAsia="zh-CN"/>
        </w:rPr>
        <w:t>二</w:t>
      </w:r>
      <w:r>
        <w:rPr>
          <w:rFonts w:hint="default" w:ascii="Times New Roman" w:hAnsi="Times New Roman" w:eastAsia="黑体" w:cs="Times New Roman"/>
          <w:color w:val="auto"/>
          <w:spacing w:val="0"/>
          <w:kern w:val="18"/>
          <w:sz w:val="32"/>
          <w:szCs w:val="32"/>
          <w:highlight w:val="none"/>
        </w:rPr>
        <w:t>、</w:t>
      </w:r>
      <w:r>
        <w:rPr>
          <w:rFonts w:hint="default" w:ascii="Times New Roman" w:hAnsi="Times New Roman" w:eastAsia="黑体" w:cs="Times New Roman"/>
          <w:color w:val="auto"/>
          <w:spacing w:val="0"/>
          <w:kern w:val="18"/>
          <w:sz w:val="32"/>
          <w:szCs w:val="32"/>
          <w:highlight w:val="none"/>
          <w:lang w:eastAsia="zh-CN"/>
        </w:rPr>
        <w:t>2024</w:t>
      </w:r>
      <w:r>
        <w:rPr>
          <w:rFonts w:hint="default" w:ascii="Times New Roman" w:hAnsi="Times New Roman" w:eastAsia="黑体" w:cs="Times New Roman"/>
          <w:color w:val="auto"/>
          <w:spacing w:val="0"/>
          <w:kern w:val="18"/>
          <w:sz w:val="32"/>
          <w:szCs w:val="32"/>
          <w:highlight w:val="none"/>
        </w:rPr>
        <w:t>年财政预算收支情况</w:t>
      </w:r>
    </w:p>
    <w:p>
      <w:pPr>
        <w:keepNext w:val="0"/>
        <w:keepLines w:val="0"/>
        <w:pageBreakBefore w:val="0"/>
        <w:widowControl w:val="0"/>
        <w:kinsoku/>
        <w:wordWrap/>
        <w:overflowPunct/>
        <w:topLinePunct w:val="0"/>
        <w:autoSpaceDE/>
        <w:autoSpaceDN/>
        <w:bidi w:val="0"/>
        <w:spacing w:line="360" w:lineRule="auto"/>
        <w:ind w:firstLine="643" w:firstLineChars="200"/>
        <w:jc w:val="both"/>
        <w:textAlignment w:val="auto"/>
        <w:rPr>
          <w:rFonts w:hint="default" w:ascii="Times New Roman" w:hAnsi="Times New Roman" w:eastAsia="楷体_GB2312" w:cs="Times New Roman"/>
          <w:b/>
          <w:bCs/>
          <w:color w:val="auto"/>
          <w:spacing w:val="0"/>
          <w:kern w:val="18"/>
          <w:sz w:val="32"/>
          <w:szCs w:val="32"/>
          <w:highlight w:val="none"/>
        </w:rPr>
      </w:pPr>
      <w:r>
        <w:rPr>
          <w:rFonts w:hint="default" w:ascii="Times New Roman" w:hAnsi="Times New Roman" w:eastAsia="楷体_GB2312" w:cs="Times New Roman"/>
          <w:b/>
          <w:bCs/>
          <w:color w:val="auto"/>
          <w:spacing w:val="0"/>
          <w:kern w:val="18"/>
          <w:sz w:val="32"/>
          <w:szCs w:val="32"/>
          <w:highlight w:val="none"/>
        </w:rPr>
        <w:t>（一）</w:t>
      </w:r>
      <w:r>
        <w:rPr>
          <w:rFonts w:hint="default" w:ascii="Times New Roman" w:hAnsi="Times New Roman" w:eastAsia="楷体_GB2312" w:cs="Times New Roman"/>
          <w:b/>
          <w:bCs/>
          <w:color w:val="auto"/>
          <w:spacing w:val="0"/>
          <w:kern w:val="18"/>
          <w:sz w:val="32"/>
          <w:szCs w:val="32"/>
          <w:highlight w:val="none"/>
          <w:lang w:eastAsia="zh-CN"/>
        </w:rPr>
        <w:t>2024</w:t>
      </w:r>
      <w:r>
        <w:rPr>
          <w:rFonts w:hint="default" w:ascii="Times New Roman" w:hAnsi="Times New Roman" w:eastAsia="楷体_GB2312" w:cs="Times New Roman"/>
          <w:b/>
          <w:bCs/>
          <w:color w:val="auto"/>
          <w:spacing w:val="0"/>
          <w:kern w:val="18"/>
          <w:sz w:val="32"/>
          <w:szCs w:val="32"/>
          <w:highlight w:val="none"/>
        </w:rPr>
        <w:t>年财政收</w:t>
      </w:r>
      <w:r>
        <w:rPr>
          <w:rFonts w:hint="default" w:ascii="Times New Roman" w:hAnsi="Times New Roman" w:eastAsia="楷体_GB2312" w:cs="Times New Roman"/>
          <w:b/>
          <w:bCs/>
          <w:color w:val="auto"/>
          <w:spacing w:val="0"/>
          <w:kern w:val="18"/>
          <w:sz w:val="32"/>
          <w:szCs w:val="32"/>
          <w:highlight w:val="none"/>
          <w:lang w:eastAsia="zh-CN"/>
        </w:rPr>
        <w:t>入</w:t>
      </w:r>
      <w:r>
        <w:rPr>
          <w:rFonts w:hint="default" w:ascii="Times New Roman" w:hAnsi="Times New Roman" w:eastAsia="楷体_GB2312" w:cs="Times New Roman"/>
          <w:b/>
          <w:bCs/>
          <w:color w:val="auto"/>
          <w:spacing w:val="0"/>
          <w:kern w:val="18"/>
          <w:sz w:val="32"/>
          <w:szCs w:val="32"/>
          <w:highlight w:val="none"/>
          <w:lang w:val="en-US" w:eastAsia="zh-CN"/>
        </w:rPr>
        <w:t>152,614</w:t>
      </w:r>
      <w:r>
        <w:rPr>
          <w:rFonts w:hint="default" w:ascii="Times New Roman" w:hAnsi="Times New Roman" w:eastAsia="楷体_GB2312" w:cs="Times New Roman"/>
          <w:b/>
          <w:bCs/>
          <w:color w:val="auto"/>
          <w:spacing w:val="0"/>
          <w:kern w:val="18"/>
          <w:sz w:val="32"/>
          <w:szCs w:val="32"/>
          <w:highlight w:val="none"/>
          <w:lang w:eastAsia="zh-CN"/>
        </w:rPr>
        <w:t>万元，</w:t>
      </w:r>
      <w:r>
        <w:rPr>
          <w:rFonts w:hint="default" w:ascii="Times New Roman" w:hAnsi="Times New Roman" w:eastAsia="楷体_GB2312" w:cs="Times New Roman"/>
          <w:b/>
          <w:bCs/>
          <w:color w:val="auto"/>
          <w:spacing w:val="0"/>
          <w:kern w:val="18"/>
          <w:sz w:val="32"/>
          <w:szCs w:val="32"/>
          <w:highlight w:val="none"/>
          <w:lang w:val="en-US" w:eastAsia="zh-CN"/>
        </w:rPr>
        <w:t>加</w:t>
      </w:r>
      <w:r>
        <w:rPr>
          <w:rFonts w:hint="default" w:ascii="Times New Roman" w:hAnsi="Times New Roman" w:eastAsia="楷体_GB2312" w:cs="Times New Roman"/>
          <w:b/>
          <w:bCs/>
          <w:color w:val="auto"/>
          <w:spacing w:val="0"/>
          <w:kern w:val="18"/>
          <w:sz w:val="32"/>
          <w:szCs w:val="32"/>
          <w:highlight w:val="none"/>
          <w:lang w:eastAsia="zh-CN"/>
        </w:rPr>
        <w:t>以前年度结余（转）</w:t>
      </w:r>
      <w:r>
        <w:rPr>
          <w:rFonts w:hint="default" w:ascii="Times New Roman" w:hAnsi="Times New Roman" w:eastAsia="楷体_GB2312" w:cs="Times New Roman"/>
          <w:b/>
          <w:bCs/>
          <w:color w:val="auto"/>
          <w:spacing w:val="0"/>
          <w:kern w:val="18"/>
          <w:sz w:val="32"/>
          <w:szCs w:val="32"/>
          <w:highlight w:val="none"/>
          <w:lang w:val="en-US" w:eastAsia="zh-CN"/>
        </w:rPr>
        <w:t>33,939</w:t>
      </w:r>
      <w:r>
        <w:rPr>
          <w:rFonts w:hint="default" w:ascii="Times New Roman" w:hAnsi="Times New Roman" w:eastAsia="楷体_GB2312" w:cs="Times New Roman"/>
          <w:b/>
          <w:bCs/>
          <w:color w:val="auto"/>
          <w:spacing w:val="0"/>
          <w:kern w:val="18"/>
          <w:sz w:val="32"/>
          <w:szCs w:val="32"/>
          <w:highlight w:val="none"/>
          <w:lang w:eastAsia="zh-CN"/>
        </w:rPr>
        <w:t>万元，实际财政可支配收入</w:t>
      </w:r>
      <w:r>
        <w:rPr>
          <w:rFonts w:hint="default" w:ascii="Times New Roman" w:hAnsi="Times New Roman" w:eastAsia="楷体_GB2312" w:cs="Times New Roman"/>
          <w:b/>
          <w:bCs/>
          <w:color w:val="auto"/>
          <w:spacing w:val="0"/>
          <w:kern w:val="18"/>
          <w:sz w:val="32"/>
          <w:szCs w:val="32"/>
          <w:highlight w:val="none"/>
          <w:lang w:val="en-US" w:eastAsia="zh-CN"/>
        </w:rPr>
        <w:t>186,553</w:t>
      </w:r>
      <w:r>
        <w:rPr>
          <w:rFonts w:hint="default" w:ascii="Times New Roman" w:hAnsi="Times New Roman" w:eastAsia="楷体_GB2312" w:cs="Times New Roman"/>
          <w:b/>
          <w:bCs/>
          <w:color w:val="auto"/>
          <w:spacing w:val="0"/>
          <w:kern w:val="18"/>
          <w:sz w:val="32"/>
          <w:szCs w:val="32"/>
          <w:highlight w:val="none"/>
          <w:lang w:eastAsia="zh-CN"/>
        </w:rPr>
        <w:t>万元</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1.一般公共预算收入</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52,231</w:t>
      </w:r>
      <w:r>
        <w:rPr>
          <w:rFonts w:hint="default" w:ascii="Times New Roman" w:hAnsi="Times New Roman" w:eastAsia="仿宋_GB2312" w:cs="Times New Roman"/>
          <w:color w:val="auto"/>
          <w:spacing w:val="0"/>
          <w:kern w:val="18"/>
          <w:sz w:val="32"/>
          <w:szCs w:val="32"/>
          <w:highlight w:val="none"/>
          <w:shd w:val="clear" w:color="auto" w:fill="FFFFFF"/>
        </w:rPr>
        <w:t>万元。其中税收分成收入</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32,000</w:t>
      </w:r>
      <w:r>
        <w:rPr>
          <w:rFonts w:hint="default" w:ascii="Times New Roman" w:hAnsi="Times New Roman" w:eastAsia="仿宋_GB2312" w:cs="Times New Roman"/>
          <w:color w:val="auto"/>
          <w:spacing w:val="0"/>
          <w:kern w:val="18"/>
          <w:sz w:val="32"/>
          <w:szCs w:val="32"/>
          <w:highlight w:val="none"/>
          <w:shd w:val="clear" w:color="auto" w:fill="FFFFFF"/>
        </w:rPr>
        <w:t>万元、非税收入</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20,231</w:t>
      </w:r>
      <w:r>
        <w:rPr>
          <w:rFonts w:hint="default" w:ascii="Times New Roman" w:hAnsi="Times New Roman" w:eastAsia="仿宋_GB2312" w:cs="Times New Roman"/>
          <w:color w:val="auto"/>
          <w:spacing w:val="0"/>
          <w:kern w:val="18"/>
          <w:sz w:val="32"/>
          <w:szCs w:val="32"/>
          <w:highlight w:val="none"/>
          <w:shd w:val="clear" w:color="auto" w:fill="FFFFFF"/>
        </w:rPr>
        <w:t>万元。</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2.上级补助收入</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3,767</w:t>
      </w:r>
      <w:r>
        <w:rPr>
          <w:rFonts w:hint="default" w:ascii="Times New Roman" w:hAnsi="Times New Roman" w:eastAsia="仿宋_GB2312" w:cs="Times New Roman"/>
          <w:color w:val="auto"/>
          <w:spacing w:val="0"/>
          <w:kern w:val="18"/>
          <w:sz w:val="32"/>
          <w:szCs w:val="32"/>
          <w:highlight w:val="none"/>
          <w:shd w:val="clear" w:color="auto" w:fill="FFFFFF"/>
        </w:rPr>
        <w:t>万元</w:t>
      </w:r>
      <w:r>
        <w:rPr>
          <w:rFonts w:hint="default" w:ascii="Times New Roman" w:hAnsi="Times New Roman" w:eastAsia="仿宋_GB2312" w:cs="Times New Roman"/>
          <w:color w:val="auto"/>
          <w:spacing w:val="0"/>
          <w:kern w:val="18"/>
          <w:sz w:val="32"/>
          <w:szCs w:val="32"/>
          <w:highlight w:val="none"/>
          <w:shd w:val="clear" w:color="auto" w:fill="FFFFFF"/>
          <w:lang w:eastAsia="zh-CN"/>
        </w:rPr>
        <w:t>，</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其中政策性转移支付923万元、提前下达</w:t>
      </w:r>
      <w:r>
        <w:rPr>
          <w:rFonts w:hint="default" w:ascii="Times New Roman" w:hAnsi="Times New Roman" w:eastAsia="仿宋_GB2312" w:cs="Times New Roman"/>
          <w:color w:val="auto"/>
          <w:spacing w:val="0"/>
          <w:kern w:val="18"/>
          <w:sz w:val="32"/>
          <w:szCs w:val="32"/>
          <w:highlight w:val="none"/>
          <w:shd w:val="clear" w:color="auto" w:fill="FFFFFF"/>
        </w:rPr>
        <w:t>转移支付</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资金2,844</w:t>
      </w:r>
      <w:r>
        <w:rPr>
          <w:rFonts w:hint="default" w:ascii="Times New Roman" w:hAnsi="Times New Roman" w:eastAsia="仿宋_GB2312" w:cs="Times New Roman"/>
          <w:color w:val="auto"/>
          <w:spacing w:val="0"/>
          <w:kern w:val="18"/>
          <w:sz w:val="32"/>
          <w:szCs w:val="32"/>
          <w:highlight w:val="none"/>
          <w:shd w:val="clear" w:color="auto" w:fill="FFFFFF"/>
        </w:rPr>
        <w:t>万元。</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3.</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政府性</w:t>
      </w:r>
      <w:r>
        <w:rPr>
          <w:rFonts w:hint="default" w:ascii="Times New Roman" w:hAnsi="Times New Roman" w:eastAsia="仿宋_GB2312" w:cs="Times New Roman"/>
          <w:color w:val="auto"/>
          <w:spacing w:val="0"/>
          <w:kern w:val="18"/>
          <w:sz w:val="32"/>
          <w:szCs w:val="32"/>
          <w:highlight w:val="none"/>
          <w:shd w:val="clear" w:color="auto" w:fill="FFFFFF"/>
        </w:rPr>
        <w:t>基金预算收入</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41,785</w:t>
      </w:r>
      <w:r>
        <w:rPr>
          <w:rFonts w:hint="default" w:ascii="Times New Roman" w:hAnsi="Times New Roman" w:eastAsia="仿宋_GB2312" w:cs="Times New Roman"/>
          <w:color w:val="auto"/>
          <w:spacing w:val="0"/>
          <w:kern w:val="18"/>
          <w:sz w:val="32"/>
          <w:szCs w:val="32"/>
          <w:highlight w:val="none"/>
          <w:shd w:val="clear" w:color="auto" w:fill="FFFFFF"/>
        </w:rPr>
        <w:t>万元</w:t>
      </w:r>
      <w:r>
        <w:rPr>
          <w:rFonts w:hint="default" w:ascii="Times New Roman" w:hAnsi="Times New Roman" w:eastAsia="仿宋_GB2312" w:cs="Times New Roman"/>
          <w:color w:val="auto"/>
          <w:spacing w:val="0"/>
          <w:kern w:val="18"/>
          <w:sz w:val="32"/>
          <w:szCs w:val="32"/>
          <w:highlight w:val="none"/>
          <w:shd w:val="clear" w:color="auto" w:fill="FFFFFF"/>
          <w:lang w:eastAsia="zh-CN"/>
        </w:rPr>
        <w:t>，</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其中土地基金收入39,067万元、污水处理费收入2,700万元、提前下达</w:t>
      </w:r>
      <w:r>
        <w:rPr>
          <w:rFonts w:hint="default" w:ascii="Times New Roman" w:hAnsi="Times New Roman" w:eastAsia="仿宋_GB2312" w:cs="Times New Roman"/>
          <w:color w:val="auto"/>
          <w:spacing w:val="0"/>
          <w:kern w:val="18"/>
          <w:sz w:val="32"/>
          <w:szCs w:val="32"/>
          <w:highlight w:val="none"/>
          <w:shd w:val="clear" w:color="auto" w:fill="FFFFFF"/>
        </w:rPr>
        <w:t>转移支付</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资金18</w:t>
      </w:r>
      <w:r>
        <w:rPr>
          <w:rFonts w:hint="default" w:ascii="Times New Roman" w:hAnsi="Times New Roman" w:eastAsia="仿宋_GB2312" w:cs="Times New Roman"/>
          <w:color w:val="auto"/>
          <w:spacing w:val="0"/>
          <w:kern w:val="18"/>
          <w:sz w:val="32"/>
          <w:szCs w:val="32"/>
          <w:highlight w:val="none"/>
          <w:shd w:val="clear" w:color="auto" w:fill="FFFFFF"/>
        </w:rPr>
        <w:t>万元</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4.</w:t>
      </w:r>
      <w:r>
        <w:rPr>
          <w:rFonts w:hint="default" w:ascii="Times New Roman" w:hAnsi="Times New Roman" w:eastAsia="仿宋_GB2312" w:cs="Times New Roman"/>
          <w:color w:val="auto"/>
          <w:spacing w:val="0"/>
          <w:kern w:val="18"/>
          <w:sz w:val="32"/>
          <w:szCs w:val="32"/>
          <w:highlight w:val="none"/>
          <w:lang w:val="en-US" w:eastAsia="zh-CN"/>
        </w:rPr>
        <w:t>医疗收入、教育收费</w:t>
      </w:r>
      <w:r>
        <w:rPr>
          <w:rFonts w:hint="default" w:ascii="Times New Roman" w:hAnsi="Times New Roman" w:eastAsia="仿宋_GB2312" w:cs="Times New Roman"/>
          <w:color w:val="auto"/>
          <w:spacing w:val="0"/>
          <w:kern w:val="18"/>
          <w:sz w:val="32"/>
          <w:szCs w:val="32"/>
          <w:highlight w:val="none"/>
          <w:shd w:val="clear" w:color="auto" w:fill="FFFFFF"/>
        </w:rPr>
        <w:t>等财政专户收入</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54,831</w:t>
      </w:r>
      <w:r>
        <w:rPr>
          <w:rFonts w:hint="default" w:ascii="Times New Roman" w:hAnsi="Times New Roman" w:eastAsia="仿宋_GB2312" w:cs="Times New Roman"/>
          <w:color w:val="auto"/>
          <w:spacing w:val="0"/>
          <w:kern w:val="18"/>
          <w:sz w:val="32"/>
          <w:szCs w:val="32"/>
          <w:highlight w:val="none"/>
          <w:shd w:val="clear" w:color="auto" w:fill="FFFFFF"/>
        </w:rPr>
        <w:t>万元。</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按照规定，从</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政府性</w:t>
      </w:r>
      <w:r>
        <w:rPr>
          <w:rFonts w:hint="default" w:ascii="Times New Roman" w:hAnsi="Times New Roman" w:eastAsia="仿宋_GB2312" w:cs="Times New Roman"/>
          <w:color w:val="auto"/>
          <w:spacing w:val="0"/>
          <w:kern w:val="18"/>
          <w:sz w:val="32"/>
          <w:szCs w:val="32"/>
          <w:highlight w:val="none"/>
          <w:shd w:val="clear" w:color="auto" w:fill="FFFFFF"/>
        </w:rPr>
        <w:t>基金</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收入</w:t>
      </w:r>
      <w:r>
        <w:rPr>
          <w:rFonts w:hint="default" w:ascii="Times New Roman" w:hAnsi="Times New Roman" w:eastAsia="仿宋_GB2312" w:cs="Times New Roman"/>
          <w:color w:val="auto"/>
          <w:spacing w:val="0"/>
          <w:kern w:val="18"/>
          <w:sz w:val="32"/>
          <w:szCs w:val="32"/>
          <w:highlight w:val="none"/>
          <w:shd w:val="clear" w:color="auto" w:fill="FFFFFF"/>
          <w:lang w:eastAsia="zh-CN"/>
        </w:rPr>
        <w:t>、</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财政专户收入</w:t>
      </w:r>
      <w:r>
        <w:rPr>
          <w:rFonts w:hint="default" w:ascii="Times New Roman" w:hAnsi="Times New Roman" w:eastAsia="仿宋_GB2312" w:cs="Times New Roman"/>
          <w:color w:val="auto"/>
          <w:spacing w:val="0"/>
          <w:kern w:val="18"/>
          <w:sz w:val="32"/>
          <w:szCs w:val="32"/>
          <w:highlight w:val="none"/>
          <w:shd w:val="clear" w:color="auto" w:fill="FFFFFF"/>
        </w:rPr>
        <w:t>调入一般公共预算</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收入34,980</w:t>
      </w:r>
      <w:r>
        <w:rPr>
          <w:rFonts w:hint="default" w:ascii="Times New Roman" w:hAnsi="Times New Roman" w:eastAsia="仿宋_GB2312" w:cs="Times New Roman"/>
          <w:color w:val="auto"/>
          <w:spacing w:val="0"/>
          <w:kern w:val="18"/>
          <w:sz w:val="32"/>
          <w:szCs w:val="32"/>
          <w:highlight w:val="none"/>
          <w:shd w:val="clear" w:color="auto" w:fill="FFFFFF"/>
        </w:rPr>
        <w:t>万元。</w:t>
      </w:r>
    </w:p>
    <w:p>
      <w:pPr>
        <w:pStyle w:val="8"/>
        <w:keepNext w:val="0"/>
        <w:keepLines w:val="0"/>
        <w:pageBreakBefore w:val="0"/>
        <w:widowControl w:val="0"/>
        <w:kinsoku/>
        <w:wordWrap/>
        <w:overflowPunct/>
        <w:topLinePunct w:val="0"/>
        <w:autoSpaceDE/>
        <w:autoSpaceDN/>
        <w:bidi w:val="0"/>
        <w:spacing w:line="360" w:lineRule="auto"/>
        <w:ind w:firstLine="643" w:firstLineChars="200"/>
        <w:jc w:val="both"/>
        <w:textAlignment w:val="auto"/>
        <w:rPr>
          <w:rFonts w:hint="default" w:ascii="Times New Roman" w:hAnsi="Times New Roman" w:eastAsia="楷体_GB2312" w:cs="Times New Roman"/>
          <w:b/>
          <w:bCs/>
          <w:color w:val="auto"/>
          <w:spacing w:val="0"/>
          <w:kern w:val="18"/>
          <w:sz w:val="32"/>
          <w:szCs w:val="32"/>
          <w:highlight w:val="none"/>
          <w:u w:val="none"/>
        </w:rPr>
      </w:pPr>
      <w:r>
        <w:rPr>
          <w:rFonts w:hint="default" w:ascii="Times New Roman" w:hAnsi="Times New Roman" w:eastAsia="楷体_GB2312" w:cs="Times New Roman"/>
          <w:b/>
          <w:bCs/>
          <w:color w:val="auto"/>
          <w:spacing w:val="0"/>
          <w:kern w:val="18"/>
          <w:sz w:val="32"/>
          <w:szCs w:val="32"/>
          <w:highlight w:val="none"/>
          <w:u w:val="none"/>
        </w:rPr>
        <w:t>（二）</w:t>
      </w:r>
      <w:r>
        <w:rPr>
          <w:rFonts w:hint="default" w:ascii="Times New Roman" w:hAnsi="Times New Roman" w:eastAsia="楷体_GB2312" w:cs="Times New Roman"/>
          <w:b/>
          <w:bCs/>
          <w:color w:val="auto"/>
          <w:spacing w:val="0"/>
          <w:kern w:val="18"/>
          <w:sz w:val="32"/>
          <w:szCs w:val="32"/>
          <w:highlight w:val="none"/>
          <w:u w:val="none"/>
          <w:lang w:eastAsia="zh-CN"/>
        </w:rPr>
        <w:t>2024</w:t>
      </w:r>
      <w:r>
        <w:rPr>
          <w:rFonts w:hint="default" w:ascii="Times New Roman" w:hAnsi="Times New Roman" w:eastAsia="楷体_GB2312" w:cs="Times New Roman"/>
          <w:b/>
          <w:bCs/>
          <w:color w:val="auto"/>
          <w:spacing w:val="0"/>
          <w:kern w:val="18"/>
          <w:sz w:val="32"/>
          <w:szCs w:val="32"/>
          <w:highlight w:val="none"/>
          <w:u w:val="none"/>
        </w:rPr>
        <w:t>年财政预算总支出</w:t>
      </w:r>
      <w:r>
        <w:rPr>
          <w:rFonts w:hint="default" w:ascii="Times New Roman" w:hAnsi="Times New Roman" w:eastAsia="楷体_GB2312" w:cs="Times New Roman"/>
          <w:b/>
          <w:bCs/>
          <w:color w:val="auto"/>
          <w:spacing w:val="0"/>
          <w:kern w:val="18"/>
          <w:sz w:val="32"/>
          <w:szCs w:val="32"/>
          <w:highlight w:val="none"/>
          <w:u w:val="none"/>
          <w:lang w:val="en-US" w:eastAsia="zh-CN"/>
        </w:rPr>
        <w:t>186,341</w:t>
      </w:r>
      <w:r>
        <w:rPr>
          <w:rFonts w:hint="default" w:ascii="Times New Roman" w:hAnsi="Times New Roman" w:eastAsia="楷体_GB2312" w:cs="Times New Roman"/>
          <w:b/>
          <w:bCs/>
          <w:color w:val="auto"/>
          <w:spacing w:val="0"/>
          <w:kern w:val="18"/>
          <w:sz w:val="32"/>
          <w:szCs w:val="32"/>
          <w:highlight w:val="none"/>
          <w:u w:val="none"/>
        </w:rPr>
        <w:t>万元</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u w:val="none"/>
          <w:shd w:val="clear" w:color="auto" w:fill="FFFFFF"/>
          <w:lang w:eastAsia="zh-CN"/>
        </w:rPr>
      </w:pPr>
      <w:r>
        <w:rPr>
          <w:rFonts w:hint="default" w:ascii="Times New Roman" w:hAnsi="Times New Roman" w:eastAsia="仿宋_GB2312" w:cs="Times New Roman"/>
          <w:color w:val="auto"/>
          <w:spacing w:val="0"/>
          <w:kern w:val="18"/>
          <w:sz w:val="32"/>
          <w:szCs w:val="32"/>
          <w:highlight w:val="none"/>
          <w:u w:val="none"/>
          <w:shd w:val="clear" w:color="auto" w:fill="FFFFFF"/>
        </w:rPr>
        <w:t>1.一般公共预算支出</w:t>
      </w:r>
      <w:r>
        <w:rPr>
          <w:rFonts w:hint="default" w:ascii="Times New Roman" w:hAnsi="Times New Roman" w:eastAsia="仿宋_GB2312" w:cs="Times New Roman"/>
          <w:color w:val="auto"/>
          <w:spacing w:val="0"/>
          <w:kern w:val="18"/>
          <w:sz w:val="32"/>
          <w:szCs w:val="32"/>
          <w:highlight w:val="none"/>
          <w:u w:val="none"/>
          <w:shd w:val="clear" w:color="auto" w:fill="FFFFFF"/>
          <w:lang w:val="en-US" w:eastAsia="zh-CN"/>
        </w:rPr>
        <w:t>104,887</w:t>
      </w:r>
      <w:r>
        <w:rPr>
          <w:rFonts w:hint="default" w:ascii="Times New Roman" w:hAnsi="Times New Roman" w:eastAsia="仿宋_GB2312" w:cs="Times New Roman"/>
          <w:color w:val="auto"/>
          <w:spacing w:val="0"/>
          <w:kern w:val="18"/>
          <w:sz w:val="32"/>
          <w:szCs w:val="32"/>
          <w:highlight w:val="none"/>
          <w:u w:val="none"/>
          <w:shd w:val="clear" w:color="auto" w:fill="FFFFFF"/>
        </w:rPr>
        <w:t>万元</w:t>
      </w:r>
      <w:r>
        <w:rPr>
          <w:rFonts w:hint="default" w:ascii="Times New Roman" w:hAnsi="Times New Roman" w:eastAsia="仿宋_GB2312" w:cs="Times New Roman"/>
          <w:color w:val="auto"/>
          <w:spacing w:val="0"/>
          <w:kern w:val="18"/>
          <w:sz w:val="32"/>
          <w:szCs w:val="32"/>
          <w:highlight w:val="none"/>
          <w:u w:val="none"/>
          <w:shd w:val="clear" w:color="auto" w:fill="FFFFFF"/>
          <w:lang w:eastAsia="zh-CN"/>
        </w:rPr>
        <w:t>，</w:t>
      </w:r>
      <w:r>
        <w:rPr>
          <w:rFonts w:hint="default" w:ascii="Times New Roman" w:hAnsi="Times New Roman" w:eastAsia="仿宋_GB2312" w:cs="Times New Roman"/>
          <w:color w:val="auto"/>
          <w:spacing w:val="0"/>
          <w:kern w:val="18"/>
          <w:sz w:val="32"/>
          <w:szCs w:val="32"/>
          <w:highlight w:val="none"/>
          <w:u w:val="none"/>
          <w:shd w:val="clear" w:color="auto" w:fill="FFFFFF"/>
          <w:lang w:val="en-US" w:eastAsia="zh-CN"/>
        </w:rPr>
        <w:t>其中一般债券还本付息费用支出235万元</w:t>
      </w:r>
      <w:r>
        <w:rPr>
          <w:rFonts w:hint="default" w:ascii="Times New Roman" w:hAnsi="Times New Roman" w:eastAsia="仿宋_GB2312" w:cs="Times New Roman"/>
          <w:color w:val="auto"/>
          <w:spacing w:val="0"/>
          <w:kern w:val="18"/>
          <w:sz w:val="32"/>
          <w:szCs w:val="32"/>
          <w:highlight w:val="none"/>
          <w:u w:val="none"/>
          <w:shd w:val="clear" w:color="auto" w:fill="FFFFFF"/>
          <w:lang w:eastAsia="zh-CN"/>
        </w:rPr>
        <w:t>。</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u w:val="none"/>
          <w:shd w:val="clear" w:color="auto" w:fill="FFFFFF"/>
        </w:rPr>
        <w:t>2.基金预算支出</w:t>
      </w:r>
      <w:r>
        <w:rPr>
          <w:rFonts w:hint="default" w:ascii="Times New Roman" w:hAnsi="Times New Roman" w:eastAsia="仿宋_GB2312" w:cs="Times New Roman"/>
          <w:color w:val="auto"/>
          <w:spacing w:val="0"/>
          <w:kern w:val="18"/>
          <w:sz w:val="32"/>
          <w:szCs w:val="32"/>
          <w:highlight w:val="none"/>
          <w:u w:val="none"/>
          <w:shd w:val="clear" w:color="auto" w:fill="FFFFFF"/>
          <w:lang w:val="en-US" w:eastAsia="zh-CN"/>
        </w:rPr>
        <w:t>35,923</w:t>
      </w:r>
      <w:r>
        <w:rPr>
          <w:rFonts w:hint="default" w:ascii="Times New Roman" w:hAnsi="Times New Roman" w:eastAsia="仿宋_GB2312" w:cs="Times New Roman"/>
          <w:color w:val="auto"/>
          <w:spacing w:val="0"/>
          <w:kern w:val="18"/>
          <w:sz w:val="32"/>
          <w:szCs w:val="32"/>
          <w:highlight w:val="none"/>
          <w:u w:val="none"/>
          <w:shd w:val="clear" w:color="auto" w:fill="FFFFFF"/>
        </w:rPr>
        <w:t>万元，其</w:t>
      </w:r>
      <w:r>
        <w:rPr>
          <w:rFonts w:hint="default" w:ascii="Times New Roman" w:hAnsi="Times New Roman" w:eastAsia="仿宋_GB2312" w:cs="Times New Roman"/>
          <w:color w:val="auto"/>
          <w:spacing w:val="0"/>
          <w:kern w:val="18"/>
          <w:sz w:val="32"/>
          <w:szCs w:val="32"/>
          <w:highlight w:val="none"/>
          <w:shd w:val="clear" w:color="auto" w:fill="FFFFFF"/>
        </w:rPr>
        <w:t>中专项债券还本付息</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费用</w:t>
      </w:r>
      <w:r>
        <w:rPr>
          <w:rFonts w:hint="default" w:ascii="Times New Roman" w:hAnsi="Times New Roman" w:eastAsia="仿宋_GB2312" w:cs="Times New Roman"/>
          <w:color w:val="auto"/>
          <w:spacing w:val="0"/>
          <w:kern w:val="18"/>
          <w:sz w:val="32"/>
          <w:szCs w:val="32"/>
          <w:highlight w:val="none"/>
          <w:shd w:val="clear" w:color="auto" w:fill="FFFFFF"/>
        </w:rPr>
        <w:t>支出</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4,030</w:t>
      </w:r>
      <w:r>
        <w:rPr>
          <w:rFonts w:hint="default" w:ascii="Times New Roman" w:hAnsi="Times New Roman" w:eastAsia="仿宋_GB2312" w:cs="Times New Roman"/>
          <w:color w:val="auto"/>
          <w:spacing w:val="0"/>
          <w:kern w:val="18"/>
          <w:sz w:val="32"/>
          <w:szCs w:val="32"/>
          <w:highlight w:val="none"/>
          <w:shd w:val="clear" w:color="auto" w:fill="FFFFFF"/>
        </w:rPr>
        <w:t>万元。</w:t>
      </w:r>
    </w:p>
    <w:p>
      <w:pPr>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kern w:val="18"/>
          <w:sz w:val="32"/>
          <w:szCs w:val="32"/>
          <w:highlight w:val="none"/>
          <w:shd w:val="clear" w:color="auto" w:fill="FFFFFF"/>
        </w:rPr>
      </w:pPr>
      <w:r>
        <w:rPr>
          <w:rFonts w:hint="default" w:ascii="Times New Roman" w:hAnsi="Times New Roman" w:eastAsia="仿宋_GB2312" w:cs="Times New Roman"/>
          <w:color w:val="auto"/>
          <w:spacing w:val="0"/>
          <w:kern w:val="18"/>
          <w:sz w:val="32"/>
          <w:szCs w:val="32"/>
          <w:highlight w:val="none"/>
          <w:shd w:val="clear" w:color="auto" w:fill="FFFFFF"/>
        </w:rPr>
        <w:t>3.医疗事业支出等财政专户支出</w:t>
      </w:r>
      <w:r>
        <w:rPr>
          <w:rFonts w:hint="default" w:ascii="Times New Roman" w:hAnsi="Times New Roman" w:eastAsia="仿宋_GB2312" w:cs="Times New Roman"/>
          <w:color w:val="auto"/>
          <w:spacing w:val="0"/>
          <w:kern w:val="18"/>
          <w:sz w:val="32"/>
          <w:szCs w:val="32"/>
          <w:highlight w:val="none"/>
          <w:shd w:val="clear" w:color="auto" w:fill="FFFFFF"/>
          <w:lang w:val="en-US" w:eastAsia="zh-CN"/>
        </w:rPr>
        <w:t>45,531</w:t>
      </w:r>
      <w:r>
        <w:rPr>
          <w:rFonts w:hint="default" w:ascii="Times New Roman" w:hAnsi="Times New Roman" w:eastAsia="仿宋_GB2312" w:cs="Times New Roman"/>
          <w:color w:val="auto"/>
          <w:spacing w:val="0"/>
          <w:kern w:val="18"/>
          <w:sz w:val="32"/>
          <w:szCs w:val="32"/>
          <w:highlight w:val="none"/>
          <w:shd w:val="clear" w:color="auto" w:fill="FFFFFF"/>
        </w:rPr>
        <w:t>万元。</w:t>
      </w:r>
    </w:p>
    <w:p>
      <w:pPr>
        <w:pStyle w:val="8"/>
        <w:keepNext w:val="0"/>
        <w:keepLines w:val="0"/>
        <w:pageBreakBefore w:val="0"/>
        <w:widowControl w:val="0"/>
        <w:kinsoku/>
        <w:wordWrap/>
        <w:overflowPunct/>
        <w:topLinePunct w:val="0"/>
        <w:autoSpaceDE/>
        <w:autoSpaceDN/>
        <w:bidi w:val="0"/>
        <w:spacing w:line="360" w:lineRule="auto"/>
        <w:ind w:firstLine="739"/>
        <w:jc w:val="both"/>
        <w:textAlignment w:val="auto"/>
        <w:rPr>
          <w:rFonts w:hint="default" w:ascii="Times New Roman" w:hAnsi="Times New Roman" w:eastAsia="黑体" w:cs="Times New Roman"/>
          <w:color w:val="auto"/>
          <w:spacing w:val="0"/>
          <w:kern w:val="18"/>
          <w:sz w:val="32"/>
          <w:szCs w:val="32"/>
          <w:highlight w:val="none"/>
          <w:lang w:val="en-US" w:eastAsia="zh-CN"/>
        </w:rPr>
      </w:pPr>
      <w:r>
        <w:rPr>
          <w:rFonts w:hint="default" w:ascii="Times New Roman" w:hAnsi="Times New Roman" w:eastAsia="黑体" w:cs="Times New Roman"/>
          <w:color w:val="auto"/>
          <w:spacing w:val="0"/>
          <w:kern w:val="18"/>
          <w:sz w:val="32"/>
          <w:szCs w:val="32"/>
          <w:highlight w:val="none"/>
          <w:lang w:val="en-US" w:eastAsia="zh-CN"/>
        </w:rPr>
        <w:t>三、2024年主要工作安排</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eastAsia" w:ascii="楷体_GB2312" w:hAnsi="楷体_GB2312" w:eastAsia="楷体_GB2312" w:cs="楷体_GB2312"/>
          <w:b/>
          <w:bCs w:val="0"/>
          <w:color w:val="auto"/>
          <w:spacing w:val="0"/>
          <w:kern w:val="18"/>
          <w:sz w:val="32"/>
          <w:szCs w:val="32"/>
          <w:highlight w:val="none"/>
          <w:lang w:val="en-US" w:eastAsia="zh-CN" w:bidi="ar-SA"/>
        </w:rPr>
      </w:pPr>
      <w:r>
        <w:rPr>
          <w:rFonts w:hint="eastAsia" w:ascii="楷体_GB2312" w:hAnsi="楷体_GB2312" w:eastAsia="楷体_GB2312" w:cs="楷体_GB2312"/>
          <w:b/>
          <w:bCs w:val="0"/>
          <w:color w:val="auto"/>
          <w:spacing w:val="0"/>
          <w:kern w:val="18"/>
          <w:sz w:val="32"/>
          <w:szCs w:val="32"/>
          <w:highlight w:val="none"/>
          <w:lang w:val="en-US" w:eastAsia="zh-CN" w:bidi="ar-SA"/>
        </w:rPr>
        <w:t>（一）找准增收发力点，增强发展保障</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default" w:ascii="Times New Roman" w:hAnsi="Times New Roman" w:eastAsia="仿宋_GB2312" w:cs="Times New Roman"/>
          <w:color w:val="auto"/>
          <w:spacing w:val="0"/>
          <w:sz w:val="32"/>
          <w:szCs w:val="32"/>
          <w:highlight w:val="none"/>
          <w:u w:val="none" w:color="auto"/>
          <w:lang w:val="en-US" w:eastAsia="zh-CN"/>
        </w:rPr>
      </w:pPr>
      <w:r>
        <w:rPr>
          <w:rFonts w:hint="default" w:ascii="Times New Roman" w:hAnsi="Times New Roman" w:eastAsia="仿宋_GB2312" w:cs="Times New Roman"/>
          <w:color w:val="auto"/>
          <w:spacing w:val="0"/>
          <w:sz w:val="32"/>
          <w:szCs w:val="32"/>
          <w:highlight w:val="none"/>
          <w:u w:val="none" w:color="auto"/>
          <w:lang w:val="en-US" w:eastAsia="zh-CN"/>
        </w:rPr>
        <w:t>一是按照</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保存量、抓增量</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思路，加大资产资源盘活力度。加强搅拌站、砂石堆放场、屋顶光伏、智慧停车等公共资源有偿使用管理，提升公共资源使用效益。二是靠前谋划争取债券资金，牢牢把握国家适度宽松的财政政策机遇，在政府债务风险可控的前提下，部门协同夯实项目申报基础，将</w:t>
      </w:r>
      <w:r>
        <w:rPr>
          <w:rFonts w:hint="eastAsia" w:eastAsia="仿宋_GB2312" w:cs="Times New Roman"/>
          <w:color w:val="auto"/>
          <w:spacing w:val="0"/>
          <w:sz w:val="32"/>
          <w:szCs w:val="32"/>
          <w:highlight w:val="none"/>
          <w:u w:val="none" w:color="auto"/>
          <w:lang w:val="en-US" w:eastAsia="zh-CN"/>
        </w:rPr>
        <w:t>“工改”、</w:t>
      </w:r>
      <w:r>
        <w:rPr>
          <w:rFonts w:hint="default" w:ascii="Times New Roman" w:hAnsi="Times New Roman" w:eastAsia="仿宋_GB2312" w:cs="Times New Roman"/>
          <w:color w:val="auto"/>
          <w:spacing w:val="0"/>
          <w:sz w:val="32"/>
          <w:szCs w:val="32"/>
          <w:highlight w:val="none"/>
          <w:u w:val="none" w:color="auto"/>
          <w:lang w:val="en-US" w:eastAsia="zh-CN"/>
        </w:rPr>
        <w:t>治水、乡村振兴等基础设施建设纳入申报债券项目库，解决发展资金短缺问题。三是管好用好债券资金，严格按照规定使用债券资金，加快推动重大项目落地，及早转化为对经济的有效拉动，充分发挥债券资金稳投资作用。</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default" w:ascii="楷体_GB2312" w:hAnsi="楷体_GB2312" w:eastAsia="楷体_GB2312" w:cs="楷体_GB2312"/>
          <w:b/>
          <w:bCs w:val="0"/>
          <w:color w:val="auto"/>
          <w:spacing w:val="0"/>
          <w:kern w:val="18"/>
          <w:sz w:val="32"/>
          <w:szCs w:val="32"/>
          <w:highlight w:val="none"/>
          <w:lang w:val="en-US" w:eastAsia="zh-CN" w:bidi="ar-SA"/>
        </w:rPr>
      </w:pPr>
      <w:r>
        <w:rPr>
          <w:rFonts w:hint="default" w:ascii="楷体_GB2312" w:hAnsi="楷体_GB2312" w:eastAsia="楷体_GB2312" w:cs="楷体_GB2312"/>
          <w:b/>
          <w:bCs w:val="0"/>
          <w:color w:val="auto"/>
          <w:spacing w:val="0"/>
          <w:kern w:val="18"/>
          <w:sz w:val="32"/>
          <w:szCs w:val="32"/>
          <w:highlight w:val="none"/>
          <w:lang w:val="en-US" w:eastAsia="zh-CN" w:bidi="ar-SA"/>
        </w:rPr>
        <w:t>（二）坚持厉行节约，提高资金使用效益</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default" w:ascii="Times New Roman" w:hAnsi="Times New Roman" w:eastAsia="仿宋_GB2312" w:cs="Times New Roman"/>
          <w:color w:val="auto"/>
          <w:spacing w:val="0"/>
          <w:sz w:val="32"/>
          <w:szCs w:val="32"/>
          <w:highlight w:val="none"/>
          <w:u w:val="none" w:color="auto"/>
          <w:lang w:val="en-US" w:eastAsia="zh-CN"/>
        </w:rPr>
      </w:pPr>
      <w:r>
        <w:rPr>
          <w:rFonts w:hint="default" w:ascii="Times New Roman" w:hAnsi="Times New Roman" w:eastAsia="仿宋_GB2312" w:cs="Times New Roman"/>
          <w:color w:val="auto"/>
          <w:spacing w:val="0"/>
          <w:sz w:val="32"/>
          <w:szCs w:val="32"/>
          <w:highlight w:val="none"/>
          <w:u w:val="none" w:color="auto"/>
          <w:lang w:val="en-US" w:eastAsia="zh-CN"/>
        </w:rPr>
        <w:t>党政机关带头厉行节约，把过</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紧日子</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作为长期坚持的基本原则，勤俭办一切事业，坚持</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三保</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支出在财政支出中的优先顺序，将有限的财力优先兜牢</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三保</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底线。二是规范实施政府购买服务，应当由政府直接履职事项、不属于政府职责范围的服务事项，不得实施政府购买服务。三是深入推进预算绩效管理。通过构建事前事中事后绩效管理闭环系统，将绩效理念融入预算管理全过程，对部分新出台政策或支出方向发生重大变化的项目开展事前绩效评估，加强绩效目标管理，做好绩效运行监控，既盯预算执行进度又盯绩效目标实现程度，发现问题及时纠偏、整改落实，确保绩效目标保质保量实现，发挥资金效益最大化。</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default" w:ascii="楷体_GB2312" w:hAnsi="楷体_GB2312" w:eastAsia="楷体_GB2312" w:cs="楷体_GB2312"/>
          <w:b/>
          <w:bCs w:val="0"/>
          <w:color w:val="auto"/>
          <w:spacing w:val="0"/>
          <w:kern w:val="18"/>
          <w:sz w:val="32"/>
          <w:szCs w:val="32"/>
          <w:highlight w:val="none"/>
          <w:lang w:val="en-US" w:eastAsia="zh-CN" w:bidi="ar-SA"/>
        </w:rPr>
      </w:pPr>
      <w:r>
        <w:rPr>
          <w:rFonts w:hint="default" w:ascii="楷体_GB2312" w:hAnsi="楷体_GB2312" w:eastAsia="楷体_GB2312" w:cs="楷体_GB2312"/>
          <w:b/>
          <w:bCs w:val="0"/>
          <w:color w:val="auto"/>
          <w:spacing w:val="0"/>
          <w:kern w:val="18"/>
          <w:sz w:val="32"/>
          <w:szCs w:val="32"/>
          <w:highlight w:val="none"/>
          <w:lang w:val="en-US" w:eastAsia="zh-CN" w:bidi="ar-SA"/>
        </w:rPr>
        <w:t>（三）注重精准安排预算，切实优化支出结构</w:t>
      </w:r>
    </w:p>
    <w:p>
      <w:pPr>
        <w:pStyle w:val="8"/>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color w:val="auto"/>
          <w:spacing w:val="0"/>
          <w:sz w:val="32"/>
          <w:szCs w:val="32"/>
          <w:highlight w:val="none"/>
          <w:u w:val="none" w:color="auto"/>
          <w:lang w:val="en-US" w:eastAsia="zh-CN"/>
        </w:rPr>
      </w:pPr>
      <w:r>
        <w:rPr>
          <w:rFonts w:hint="default" w:ascii="Times New Roman" w:hAnsi="Times New Roman" w:eastAsia="仿宋_GB2312" w:cs="Times New Roman"/>
          <w:color w:val="auto"/>
          <w:spacing w:val="0"/>
          <w:sz w:val="32"/>
          <w:szCs w:val="32"/>
          <w:highlight w:val="none"/>
          <w:u w:val="none" w:color="auto"/>
          <w:lang w:val="en-US" w:eastAsia="zh-CN"/>
        </w:rPr>
        <w:t>2024年财政</w:t>
      </w:r>
      <w:r>
        <w:rPr>
          <w:rFonts w:hint="eastAsia" w:eastAsia="仿宋_GB2312" w:cs="Times New Roman"/>
          <w:color w:val="auto"/>
          <w:spacing w:val="0"/>
          <w:sz w:val="32"/>
          <w:szCs w:val="32"/>
          <w:highlight w:val="none"/>
          <w:u w:val="none" w:color="auto"/>
          <w:lang w:val="en-US" w:eastAsia="zh-CN"/>
        </w:rPr>
        <w:t>预算</w:t>
      </w:r>
      <w:r>
        <w:rPr>
          <w:rFonts w:hint="default" w:ascii="Times New Roman" w:hAnsi="Times New Roman" w:eastAsia="仿宋_GB2312" w:cs="Times New Roman"/>
          <w:color w:val="auto"/>
          <w:spacing w:val="0"/>
          <w:sz w:val="32"/>
          <w:szCs w:val="32"/>
          <w:highlight w:val="none"/>
          <w:u w:val="none" w:color="auto"/>
          <w:lang w:val="en-US" w:eastAsia="zh-CN"/>
        </w:rPr>
        <w:t>坚持以人民为中心的发展思想，统筹人民需要和财力可能，重点保障基础性、普惠性、兜底性民生建设，促进区域重大战略发展，持续推动民生福祉增进。安排社会事业保障经费2,221万元，健全社会保障体系，推进劳有所得、病有所医、老有所养、弱有所扶；安排教育支出4,417万元</w:t>
      </w:r>
      <w:r>
        <w:rPr>
          <w:rFonts w:hint="default" w:ascii="Times New Roman" w:hAnsi="Times New Roman" w:eastAsia="仿宋_GB2312" w:cs="Times New Roman"/>
          <w:b w:val="0"/>
          <w:bCs w:val="0"/>
          <w:color w:val="auto"/>
          <w:spacing w:val="0"/>
          <w:kern w:val="2"/>
          <w:sz w:val="32"/>
          <w:szCs w:val="32"/>
          <w:highlight w:val="none"/>
          <w:lang w:val="en-US" w:eastAsia="zh-CN" w:bidi="ar-SA"/>
        </w:rPr>
        <w:t>，构建优质均衡的基本公共教育服务体系</w:t>
      </w:r>
      <w:r>
        <w:rPr>
          <w:rFonts w:hint="default" w:ascii="Times New Roman" w:hAnsi="Times New Roman" w:eastAsia="仿宋_GB2312" w:cs="Times New Roman"/>
          <w:color w:val="auto"/>
          <w:spacing w:val="0"/>
          <w:sz w:val="32"/>
          <w:szCs w:val="32"/>
          <w:highlight w:val="none"/>
          <w:u w:val="none" w:color="auto"/>
          <w:lang w:val="en-US" w:eastAsia="zh-CN"/>
        </w:rPr>
        <w:t>；安排医疗卫生事业支出4,779万元，提高医疗卫生服务能力，回应群众医疗新期盼；安排农业农村</w:t>
      </w:r>
      <w:r>
        <w:rPr>
          <w:rFonts w:hint="eastAsia"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水利事务支出3,263万元，加快乡村振兴步伐，促进城乡区域协调发展</w:t>
      </w:r>
      <w:r>
        <w:rPr>
          <w:rFonts w:hint="eastAsia"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安排公共安全支出3,095万元，织密社会安全防护网；安排城乡社区专项支出3.5亿元，重点改造提升中山智能家电产业园（</w:t>
      </w:r>
      <w:r>
        <w:rPr>
          <w:rFonts w:hint="eastAsia" w:eastAsia="仿宋_GB2312" w:cs="Times New Roman"/>
          <w:color w:val="auto"/>
          <w:spacing w:val="0"/>
          <w:sz w:val="32"/>
          <w:szCs w:val="32"/>
          <w:highlight w:val="none"/>
          <w:u w:val="none" w:color="auto"/>
          <w:lang w:val="en-US" w:eastAsia="zh-CN"/>
        </w:rPr>
        <w:t>黄圃</w:t>
      </w:r>
      <w:r>
        <w:rPr>
          <w:rFonts w:hint="default" w:ascii="Times New Roman" w:hAnsi="Times New Roman" w:eastAsia="仿宋_GB2312" w:cs="Times New Roman"/>
          <w:color w:val="auto"/>
          <w:spacing w:val="0"/>
          <w:sz w:val="32"/>
          <w:szCs w:val="32"/>
          <w:highlight w:val="none"/>
          <w:u w:val="none" w:color="auto"/>
          <w:lang w:val="en-US" w:eastAsia="zh-CN"/>
        </w:rPr>
        <w:t>片区），为黄圃高质量发展注入新动能。</w:t>
      </w:r>
    </w:p>
    <w:p>
      <w:pPr>
        <w:keepNext w:val="0"/>
        <w:keepLines w:val="0"/>
        <w:pageBreakBefore w:val="0"/>
        <w:widowControl w:val="0"/>
        <w:numPr>
          <w:ilvl w:val="0"/>
          <w:numId w:val="0"/>
        </w:numPr>
        <w:kinsoku/>
        <w:wordWrap/>
        <w:overflowPunct/>
        <w:topLinePunct w:val="0"/>
        <w:autoSpaceDE/>
        <w:autoSpaceDN/>
        <w:bidi w:val="0"/>
        <w:spacing w:line="360" w:lineRule="auto"/>
        <w:ind w:firstLine="640"/>
        <w:jc w:val="both"/>
        <w:textAlignment w:val="auto"/>
        <w:outlineLvl w:val="9"/>
        <w:rPr>
          <w:rFonts w:hint="default" w:ascii="Times New Roman" w:hAnsi="Times New Roman" w:eastAsia="仿宋_GB2312" w:cs="Times New Roman"/>
          <w:color w:val="auto"/>
          <w:spacing w:val="0"/>
          <w:sz w:val="32"/>
          <w:szCs w:val="32"/>
          <w:highlight w:val="none"/>
          <w:u w:val="none" w:color="auto"/>
          <w:lang w:val="en-US" w:eastAsia="zh-CN"/>
        </w:rPr>
      </w:pPr>
      <w:r>
        <w:rPr>
          <w:rFonts w:hint="default" w:ascii="Times New Roman" w:hAnsi="Times New Roman" w:eastAsia="仿宋_GB2312" w:cs="Times New Roman"/>
          <w:color w:val="auto"/>
          <w:spacing w:val="0"/>
          <w:sz w:val="32"/>
          <w:szCs w:val="32"/>
          <w:highlight w:val="none"/>
          <w:u w:val="none" w:color="auto"/>
          <w:lang w:val="en-US" w:eastAsia="zh-CN"/>
        </w:rPr>
        <w:t>各位代表，2024年，我镇将围绕</w:t>
      </w:r>
      <w:r>
        <w:rPr>
          <w:rFonts w:hint="eastAsia"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w:t>
      </w:r>
      <w:r>
        <w:rPr>
          <w:rFonts w:hint="default"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要花钱先找钱</w:t>
      </w:r>
      <w:r>
        <w:rPr>
          <w:rFonts w:hint="eastAsia"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w:t>
      </w:r>
      <w:r>
        <w:rPr>
          <w:rFonts w:hint="default"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的工作思路，打好财政</w:t>
      </w:r>
      <w:r>
        <w:rPr>
          <w:rFonts w:hint="eastAsia"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w:t>
      </w:r>
      <w:r>
        <w:rPr>
          <w:rFonts w:hint="default"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算盘</w:t>
      </w:r>
      <w:r>
        <w:rPr>
          <w:rFonts w:hint="eastAsia"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w:t>
      </w:r>
      <w:r>
        <w:rPr>
          <w:rFonts w:hint="default" w:ascii="Times New Roman" w:hAnsi="Times New Roman" w:eastAsia="仿宋_GB2312" w:cs="Times New Roman"/>
          <w:color w:val="auto"/>
          <w:spacing w:val="0"/>
          <w:sz w:val="32"/>
          <w:szCs w:val="32"/>
          <w:highlight w:val="none"/>
          <w:u w:val="none" w:color="auto"/>
          <w:lang w:val="en-US" w:eastAsia="zh-CN"/>
        </w:rPr>
        <w:t>，严格落实</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先谋事再排钱</w:t>
      </w:r>
      <w:r>
        <w:rPr>
          <w:rFonts w:hint="eastAsia"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b w:val="0"/>
          <w:i w:val="0"/>
          <w:caps w:val="0"/>
          <w:color w:val="auto"/>
          <w:spacing w:val="0"/>
          <w:sz w:val="32"/>
          <w:szCs w:val="32"/>
          <w:highlight w:val="none"/>
          <w:u w:val="none" w:color="auto"/>
          <w:shd w:val="clear" w:color="auto" w:fill="auto"/>
          <w:lang w:val="en-US" w:eastAsia="zh-CN" w:bidi="ar-SA"/>
        </w:rPr>
        <w:t>实行预算支出规模总额控制</w:t>
      </w:r>
      <w:r>
        <w:rPr>
          <w:rFonts w:hint="default" w:ascii="Times New Roman" w:hAnsi="Times New Roman" w:eastAsia="仿宋_GB2312" w:cs="Times New Roman"/>
          <w:b w:val="0"/>
          <w:i w:val="0"/>
          <w:caps w:val="0"/>
          <w:color w:val="auto"/>
          <w:spacing w:val="0"/>
          <w:sz w:val="32"/>
          <w:szCs w:val="32"/>
          <w:highlight w:val="none"/>
          <w:u w:val="none" w:color="auto"/>
          <w:shd w:val="clear" w:color="auto" w:fill="auto"/>
          <w:lang w:eastAsia="zh-CN" w:bidi="ar-SA"/>
        </w:rPr>
        <w:t>。</w:t>
      </w:r>
      <w:r>
        <w:rPr>
          <w:rFonts w:hint="default" w:ascii="Times New Roman" w:hAnsi="Times New Roman" w:eastAsia="仿宋_GB2312" w:cs="Times New Roman"/>
          <w:color w:val="auto"/>
          <w:spacing w:val="0"/>
          <w:sz w:val="32"/>
          <w:szCs w:val="32"/>
          <w:highlight w:val="none"/>
          <w:u w:val="none" w:color="auto"/>
          <w:lang w:val="en-US" w:eastAsia="zh-CN"/>
        </w:rPr>
        <w:t>加强财政资源统筹，优化财政支出结构，始终保持一股迎难而上、攻坚克难的干劲，以奋发有为的精神状态，提高创造性执行能力，扎实做好财政改革发展</w:t>
      </w:r>
      <w:bookmarkStart w:id="0" w:name="_GoBack"/>
      <w:bookmarkEnd w:id="0"/>
      <w:r>
        <w:rPr>
          <w:rFonts w:hint="default" w:ascii="Times New Roman" w:hAnsi="Times New Roman" w:eastAsia="仿宋_GB2312" w:cs="Times New Roman"/>
          <w:color w:val="auto"/>
          <w:spacing w:val="0"/>
          <w:sz w:val="32"/>
          <w:szCs w:val="32"/>
          <w:highlight w:val="none"/>
          <w:u w:val="none" w:color="auto"/>
          <w:lang w:val="en-US" w:eastAsia="zh-CN"/>
        </w:rPr>
        <w:t>各项工作，为推进新时代黄圃高质量发展</w:t>
      </w:r>
      <w:r>
        <w:rPr>
          <w:rFonts w:hint="eastAsia" w:eastAsia="仿宋_GB2312" w:cs="Times New Roman"/>
          <w:color w:val="auto"/>
          <w:spacing w:val="0"/>
          <w:sz w:val="32"/>
          <w:szCs w:val="32"/>
          <w:highlight w:val="none"/>
          <w:u w:val="none" w:color="auto"/>
          <w:lang w:val="en-US" w:eastAsia="zh-CN"/>
        </w:rPr>
        <w:t>、</w:t>
      </w:r>
      <w:r>
        <w:rPr>
          <w:rFonts w:hint="default" w:ascii="Times New Roman" w:hAnsi="Times New Roman" w:eastAsia="仿宋_GB2312" w:cs="Times New Roman"/>
          <w:color w:val="auto"/>
          <w:spacing w:val="0"/>
          <w:sz w:val="32"/>
          <w:szCs w:val="32"/>
          <w:highlight w:val="none"/>
          <w:u w:val="none" w:color="auto"/>
          <w:lang w:val="en-US" w:eastAsia="zh-CN"/>
        </w:rPr>
        <w:t>现代化建设作出新</w:t>
      </w:r>
      <w:r>
        <w:rPr>
          <w:rFonts w:hint="eastAsia" w:eastAsia="仿宋_GB2312" w:cs="Times New Roman"/>
          <w:color w:val="auto"/>
          <w:spacing w:val="0"/>
          <w:sz w:val="32"/>
          <w:szCs w:val="32"/>
          <w:highlight w:val="none"/>
          <w:u w:val="none" w:color="auto"/>
          <w:lang w:val="en-US" w:eastAsia="zh-CN"/>
        </w:rPr>
        <w:t>的更大</w:t>
      </w:r>
      <w:r>
        <w:rPr>
          <w:rFonts w:hint="default" w:ascii="Times New Roman" w:hAnsi="Times New Roman" w:eastAsia="仿宋_GB2312" w:cs="Times New Roman"/>
          <w:color w:val="auto"/>
          <w:spacing w:val="0"/>
          <w:sz w:val="32"/>
          <w:szCs w:val="32"/>
          <w:highlight w:val="none"/>
          <w:u w:val="none" w:color="auto"/>
          <w:lang w:val="en-US" w:eastAsia="zh-CN"/>
        </w:rPr>
        <w:t>贡献。</w:t>
      </w:r>
    </w:p>
    <w:p>
      <w:pPr>
        <w:keepNext w:val="0"/>
        <w:keepLines w:val="0"/>
        <w:pageBreakBefore w:val="0"/>
        <w:widowControl w:val="0"/>
        <w:kinsoku/>
        <w:wordWrap/>
        <w:overflowPunct/>
        <w:topLinePunct w:val="0"/>
        <w:autoSpaceDE/>
        <w:autoSpaceDN/>
        <w:bidi w:val="0"/>
        <w:spacing w:line="360" w:lineRule="auto"/>
        <w:jc w:val="both"/>
        <w:textAlignment w:val="auto"/>
        <w:rPr>
          <w:rFonts w:hint="default" w:ascii="Times New Roman" w:hAnsi="Times New Roman" w:cs="Times New Roman"/>
          <w:color w:val="auto"/>
          <w:spacing w:val="0"/>
          <w:highlight w:val="none"/>
        </w:rPr>
      </w:pPr>
    </w:p>
    <w:sectPr>
      <w:headerReference r:id="rId3" w:type="default"/>
      <w:footerReference r:id="rId4" w:type="default"/>
      <w:pgSz w:w="11906" w:h="16838"/>
      <w:pgMar w:top="1417" w:right="1587" w:bottom="1417" w:left="1587"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2FC13"/>
    <w:multiLevelType w:val="singleLevel"/>
    <w:tmpl w:val="8142FC13"/>
    <w:lvl w:ilvl="0" w:tentative="0">
      <w:start w:val="2"/>
      <w:numFmt w:val="chineseCounting"/>
      <w:suff w:val="nothing"/>
      <w:lvlText w:val="（%1）"/>
      <w:lvlJc w:val="left"/>
      <w:rPr>
        <w:rFonts w:hint="eastAsia"/>
      </w:rPr>
    </w:lvl>
  </w:abstractNum>
  <w:abstractNum w:abstractNumId="1">
    <w:nsid w:val="0D9A95C6"/>
    <w:multiLevelType w:val="singleLevel"/>
    <w:tmpl w:val="0D9A95C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C262D"/>
    <w:rsid w:val="04A95123"/>
    <w:rsid w:val="059B4E40"/>
    <w:rsid w:val="066C1B5E"/>
    <w:rsid w:val="07CB0958"/>
    <w:rsid w:val="0B30421D"/>
    <w:rsid w:val="0B8F7CEC"/>
    <w:rsid w:val="0CCC2506"/>
    <w:rsid w:val="0CEA34BE"/>
    <w:rsid w:val="0DB2171B"/>
    <w:rsid w:val="11483D68"/>
    <w:rsid w:val="115C2D54"/>
    <w:rsid w:val="11B71E1D"/>
    <w:rsid w:val="157D5A08"/>
    <w:rsid w:val="180A78EF"/>
    <w:rsid w:val="198E4EFC"/>
    <w:rsid w:val="1FDB71CF"/>
    <w:rsid w:val="224772C9"/>
    <w:rsid w:val="238E2E63"/>
    <w:rsid w:val="273419E0"/>
    <w:rsid w:val="28067B3A"/>
    <w:rsid w:val="334C7FB6"/>
    <w:rsid w:val="351D0231"/>
    <w:rsid w:val="360217A9"/>
    <w:rsid w:val="3BF770DE"/>
    <w:rsid w:val="3DA059A7"/>
    <w:rsid w:val="3DDC7D8B"/>
    <w:rsid w:val="42641245"/>
    <w:rsid w:val="444555C8"/>
    <w:rsid w:val="45880D21"/>
    <w:rsid w:val="4934502A"/>
    <w:rsid w:val="4AF95C0F"/>
    <w:rsid w:val="4DF40413"/>
    <w:rsid w:val="4DF85277"/>
    <w:rsid w:val="50DE503B"/>
    <w:rsid w:val="53427F20"/>
    <w:rsid w:val="55820257"/>
    <w:rsid w:val="58CF5440"/>
    <w:rsid w:val="598B7388"/>
    <w:rsid w:val="5B667984"/>
    <w:rsid w:val="5BD347B4"/>
    <w:rsid w:val="5F4661B2"/>
    <w:rsid w:val="639B507A"/>
    <w:rsid w:val="63BD5A1D"/>
    <w:rsid w:val="6AF15601"/>
    <w:rsid w:val="6BE50451"/>
    <w:rsid w:val="6D004B8B"/>
    <w:rsid w:val="6DF026EB"/>
    <w:rsid w:val="6F0A44BC"/>
    <w:rsid w:val="72BE234E"/>
    <w:rsid w:val="73607959"/>
    <w:rsid w:val="769F19A4"/>
    <w:rsid w:val="76A9613C"/>
    <w:rsid w:val="783748A0"/>
    <w:rsid w:val="78D52F9E"/>
    <w:rsid w:val="78F14D7D"/>
    <w:rsid w:val="7B534407"/>
    <w:rsid w:val="7BD61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table of authorities1"/>
    <w:basedOn w:val="1"/>
    <w:next w:val="1"/>
    <w:qFormat/>
    <w:uiPriority w:val="0"/>
    <w:pPr>
      <w:ind w:left="420" w:leftChars="200"/>
    </w:pPr>
    <w:rPr>
      <w:rFonts w:ascii="Times New Roman" w:hAnsi="Times New Roman"/>
    </w:rPr>
  </w:style>
  <w:style w:type="paragraph" w:styleId="3">
    <w:name w:val="annotation text"/>
    <w:basedOn w:val="1"/>
    <w:qFormat/>
    <w:uiPriority w:val="0"/>
    <w:pPr>
      <w:jc w:val="left"/>
    </w:pPr>
    <w:rPr>
      <w:rFonts w:ascii="Times New Roman" w:hAnsi="Times New Roman" w:eastAsia="宋体"/>
      <w:sz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2023-02-27T09:49:00Z</dcterms:created>
  <dc:creator>HPZ001</dc:creator>
  <cp:lastModifiedBy>刘海华</cp:lastModifiedBy>
  <cp:lastPrinted>2024-01-24T07:19:00Z</cp:lastPrinted>
  <dcterms:modified xsi:type="dcterms:W3CDTF">2024-01-24T08:36:01Z</dcterms:modified>
  <dc:title>镇十七届人大七次会议文件（1）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C95F814F4F53408190B309BFC3F20660</vt:lpwstr>
  </property>
</Properties>
</file>