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丽晴花园（一期）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规划设计方案的公示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中山市繁星亮房地产开发有限公司向我局申请变更丽晴花园（一期）（地址:中山市三乡镇新圩村“财兴围”）规划设计方案。现根据相关法律、法规予以公示。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该项目的规划公示牌设在项目售楼部门口、人行主入口、车库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联系电话：86638541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中山市自然资源局第四分局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A7B20"/>
    <w:rsid w:val="1C48096A"/>
    <w:rsid w:val="4D1A50FB"/>
    <w:rsid w:val="64642E89"/>
    <w:rsid w:val="65E77FCD"/>
    <w:rsid w:val="7DA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2023-11-15T08:04:00Z</dcterms:created>
  <dc:creator>admin</dc:creator>
  <cp:lastModifiedBy>吴文骏</cp:lastModifiedBy>
  <dcterms:modified xsi:type="dcterms:W3CDTF">2024-11-26T02:16:40Z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8F6B3780033143CF87F278485A5E803B</vt:lpwstr>
  </property>
</Properties>
</file>