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4" w:lineRule="exact"/>
        <w:jc w:val="center"/>
        <w:rPr>
          <w:rFonts w:ascii="方正小标宋简体" w:hAnsi="方正小标宋简体" w:eastAsia="方正小标宋简体" w:cs="方正小标宋简体"/>
          <w:color w:val="auto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</w:rPr>
        <w:t>阜沙镇中山柯鲁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lang w:val="en-US" w:eastAsia="zh-CN"/>
        </w:rPr>
        <w:t>冠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</w:rPr>
        <w:t>光电子器件制造有限公司“工改工”宗地项目“三旧”改造方案</w:t>
      </w:r>
    </w:p>
    <w:p>
      <w:pPr>
        <w:pStyle w:val="3"/>
        <w:rPr>
          <w:color w:val="auto"/>
        </w:rPr>
      </w:pPr>
    </w:p>
    <w:p>
      <w:pPr>
        <w:spacing w:line="574" w:lineRule="exact"/>
        <w:ind w:firstLine="616" w:firstLineChars="200"/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</w:rPr>
        <w:t>根据中山市城市更新（“三旧”改造）专项规划和经批复的规划条件论证，阜沙镇人民政府拟对位于中山市阜沙镇埠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lang w:val="en-US" w:eastAsia="zh-CN"/>
        </w:rPr>
        <w:t>港西路47号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lang w:eastAsia="zh-CN"/>
        </w:rPr>
        <w:t>中山柯鲁冠光电子器件制造有限公司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</w:rPr>
        <w:t>旧厂房用地进行改造，由土地权利人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lang w:eastAsia="zh-CN"/>
        </w:rPr>
        <w:t>中山柯鲁冠光电子器件制造有限公司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</w:rPr>
        <w:t>自主改造，采取全面改造方式。改造方案如下：</w:t>
      </w:r>
    </w:p>
    <w:p>
      <w:pPr>
        <w:spacing w:line="574" w:lineRule="exact"/>
        <w:ind w:firstLine="616" w:firstLineChars="200"/>
        <w:rPr>
          <w:rFonts w:ascii="黑体" w:hAnsi="黑体" w:eastAsia="黑体" w:cs="黑体"/>
          <w:color w:val="auto"/>
          <w:spacing w:val="-6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</w:rPr>
        <w:t>一、改造地块基本情况</w:t>
      </w:r>
    </w:p>
    <w:p>
      <w:pPr>
        <w:spacing w:line="574" w:lineRule="exact"/>
        <w:ind w:firstLine="616" w:firstLineChars="200"/>
        <w:rPr>
          <w:rFonts w:ascii="楷体" w:hAnsi="楷体" w:eastAsia="楷体" w:cs="楷体"/>
          <w:color w:val="auto"/>
          <w:spacing w:val="-6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pacing w:val="-6"/>
          <w:sz w:val="32"/>
          <w:szCs w:val="32"/>
        </w:rPr>
        <w:t>（一）总体情况</w:t>
      </w:r>
    </w:p>
    <w:p>
      <w:pPr>
        <w:spacing w:line="574" w:lineRule="exact"/>
        <w:ind w:firstLine="616" w:firstLineChars="200"/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</w:rPr>
        <w:t>改造地块位中山市阜沙镇埠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lang w:val="en-US" w:eastAsia="zh-CN"/>
        </w:rPr>
        <w:t>港西路</w:t>
      </w:r>
      <w:r>
        <w:rPr>
          <w:rFonts w:hint="eastAsia" w:ascii="Times New Roman" w:hAnsi="Times New Roman" w:eastAsia="仿宋_GB2312"/>
          <w:color w:val="auto"/>
          <w:spacing w:val="-6"/>
          <w:sz w:val="32"/>
          <w:szCs w:val="32"/>
          <w:lang w:val="en-US" w:eastAsia="zh-CN"/>
        </w:rPr>
        <w:t>47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lang w:val="en-US" w:eastAsia="zh-CN"/>
        </w:rPr>
        <w:t>号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</w:rPr>
        <w:t>，北至中山市金久源塑胶材料有限公司，南至益鑫鞋材有限公司，东至农田，西至阜港西路，用地面积</w:t>
      </w:r>
      <w:r>
        <w:rPr>
          <w:rFonts w:hint="eastAsia" w:ascii="Times New Roman" w:hAnsi="Times New Roman" w:eastAsia="仿宋_GB2312"/>
          <w:color w:val="auto"/>
          <w:spacing w:val="-6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/>
          <w:color w:val="auto"/>
          <w:spacing w:val="-6"/>
          <w:sz w:val="32"/>
          <w:szCs w:val="32"/>
        </w:rPr>
        <w:t>.</w:t>
      </w:r>
      <w:r>
        <w:rPr>
          <w:rFonts w:hint="eastAsia" w:ascii="Times New Roman" w:hAnsi="Times New Roman" w:eastAsia="仿宋_GB2312"/>
          <w:color w:val="auto"/>
          <w:spacing w:val="-6"/>
          <w:sz w:val="32"/>
          <w:szCs w:val="32"/>
          <w:lang w:val="en-US" w:eastAsia="zh-CN"/>
        </w:rPr>
        <w:t>6667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</w:rPr>
        <w:t>公顷（</w:t>
      </w:r>
      <w:r>
        <w:rPr>
          <w:rFonts w:hint="eastAsia" w:ascii="Times New Roman" w:hAnsi="Times New Roman" w:eastAsia="仿宋_GB2312"/>
          <w:color w:val="auto"/>
          <w:spacing w:val="-6"/>
          <w:sz w:val="32"/>
          <w:szCs w:val="32"/>
          <w:lang w:val="en-US" w:eastAsia="zh-CN"/>
        </w:rPr>
        <w:t>6666</w:t>
      </w:r>
      <w:r>
        <w:rPr>
          <w:rFonts w:hint="eastAsia" w:ascii="Times New Roman" w:hAnsi="Times New Roman" w:eastAsia="仿宋_GB2312"/>
          <w:color w:val="auto"/>
          <w:spacing w:val="-6"/>
          <w:sz w:val="32"/>
          <w:szCs w:val="32"/>
        </w:rPr>
        <w:t>.</w:t>
      </w:r>
      <w:r>
        <w:rPr>
          <w:rFonts w:hint="eastAsia" w:ascii="Times New Roman" w:hAnsi="Times New Roman" w:eastAsia="仿宋_GB2312"/>
          <w:color w:val="auto"/>
          <w:spacing w:val="-6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</w:rPr>
        <w:t>平方米，折合约</w:t>
      </w:r>
      <w:r>
        <w:rPr>
          <w:rFonts w:hint="eastAsia" w:ascii="Times New Roman" w:hAnsi="Times New Roman" w:eastAsia="仿宋_GB2312"/>
          <w:color w:val="auto"/>
          <w:spacing w:val="-6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color w:val="auto"/>
          <w:spacing w:val="-6"/>
          <w:sz w:val="32"/>
          <w:szCs w:val="32"/>
        </w:rPr>
        <w:t>0.</w:t>
      </w:r>
      <w:r>
        <w:rPr>
          <w:rFonts w:hint="eastAsia" w:ascii="Times New Roman" w:hAnsi="Times New Roman" w:eastAsia="仿宋_GB2312"/>
          <w:color w:val="auto"/>
          <w:spacing w:val="-6"/>
          <w:sz w:val="32"/>
          <w:szCs w:val="32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</w:rPr>
        <w:t>亩）。</w:t>
      </w:r>
    </w:p>
    <w:p>
      <w:pPr>
        <w:spacing w:line="574" w:lineRule="exact"/>
        <w:ind w:firstLine="616" w:firstLineChars="200"/>
        <w:rPr>
          <w:rFonts w:ascii="楷体" w:hAnsi="楷体" w:eastAsia="楷体" w:cs="楷体"/>
          <w:color w:val="auto"/>
          <w:spacing w:val="-6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pacing w:val="-6"/>
          <w:sz w:val="32"/>
          <w:szCs w:val="32"/>
        </w:rPr>
        <w:t>（二）标图入库情况</w:t>
      </w:r>
    </w:p>
    <w:p>
      <w:pPr>
        <w:spacing w:line="574" w:lineRule="exact"/>
        <w:ind w:firstLine="616" w:firstLineChars="200"/>
        <w:rPr>
          <w:rFonts w:ascii="仿宋_GB2312" w:hAnsi="仿宋_GB2312" w:eastAsia="仿宋_GB2312" w:cs="仿宋_GB2312"/>
          <w:color w:val="auto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改造地块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正在办理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“三旧”标图入库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</w:rPr>
        <w:t>。</w:t>
      </w:r>
    </w:p>
    <w:p>
      <w:pPr>
        <w:spacing w:line="574" w:lineRule="exact"/>
        <w:ind w:firstLine="616" w:firstLineChars="200"/>
        <w:rPr>
          <w:rFonts w:ascii="楷体" w:hAnsi="楷体" w:eastAsia="楷体" w:cs="楷体"/>
          <w:color w:val="auto"/>
          <w:spacing w:val="-6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pacing w:val="-6"/>
          <w:sz w:val="32"/>
          <w:szCs w:val="32"/>
        </w:rPr>
        <w:t>（三）权属情况</w:t>
      </w:r>
    </w:p>
    <w:p>
      <w:pPr>
        <w:spacing w:line="574" w:lineRule="exact"/>
        <w:ind w:firstLine="616" w:firstLineChars="200"/>
        <w:rPr>
          <w:rFonts w:ascii="仿宋_GB2312" w:hAnsi="仿宋_GB2312" w:eastAsia="仿宋_GB2312" w:cs="仿宋_GB2312"/>
          <w:color w:val="auto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</w:rPr>
        <w:t>改造项目范围内全部属国有建设用地，土地用途为工业，改造涉及的土地已经确权、登记，不动产权证号为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lang w:eastAsia="zh-CN"/>
        </w:rPr>
        <w:t>: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</w:rPr>
        <w:t>粤</w:t>
      </w:r>
      <w:r>
        <w:rPr>
          <w:rFonts w:hint="eastAsia" w:ascii="Times New Roman" w:hAnsi="Times New Roman" w:eastAsia="仿宋_GB2312"/>
          <w:color w:val="auto"/>
          <w:spacing w:val="-6"/>
          <w:sz w:val="32"/>
          <w:szCs w:val="32"/>
        </w:rPr>
        <w:t>（20</w:t>
      </w:r>
      <w:r>
        <w:rPr>
          <w:rFonts w:hint="eastAsia" w:ascii="Times New Roman" w:hAnsi="Times New Roman" w:eastAsia="仿宋_GB2312"/>
          <w:color w:val="auto"/>
          <w:spacing w:val="-6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仿宋_GB2312"/>
          <w:color w:val="auto"/>
          <w:spacing w:val="-6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</w:rPr>
        <w:t>中山市不动产权第</w:t>
      </w:r>
      <w:r>
        <w:rPr>
          <w:rFonts w:hint="eastAsia" w:ascii="Times New Roman" w:hAnsi="Times New Roman" w:eastAsia="仿宋_GB2312"/>
          <w:color w:val="auto"/>
          <w:spacing w:val="-6"/>
          <w:sz w:val="32"/>
          <w:szCs w:val="32"/>
          <w:lang w:val="en-US" w:eastAsia="zh-CN"/>
        </w:rPr>
        <w:t>0613606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</w:rPr>
        <w:t>号，为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lang w:val="en-US" w:eastAsia="zh-CN"/>
        </w:rPr>
        <w:t>原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</w:rPr>
        <w:t>土地权利人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lang w:val="en-US" w:eastAsia="zh-CN"/>
        </w:rPr>
        <w:t>柯兰普•安德鲁海亚特</w:t>
      </w:r>
      <w:r>
        <w:rPr>
          <w:rFonts w:hint="eastAsia" w:ascii="Times New Roman" w:hAnsi="Times New Roman" w:eastAsia="仿宋_GB2312"/>
          <w:color w:val="auto"/>
          <w:spacing w:val="-6"/>
          <w:sz w:val="32"/>
          <w:szCs w:val="32"/>
          <w:lang w:val="en-US" w:eastAsia="zh-CN"/>
        </w:rPr>
        <w:t>(CRAMP ANDREW HYATT)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lang w:val="en-US" w:eastAsia="zh-CN"/>
        </w:rPr>
        <w:t>自</w:t>
      </w:r>
      <w:r>
        <w:rPr>
          <w:rFonts w:hint="eastAsia" w:ascii="Times New Roman" w:hAnsi="Times New Roman" w:eastAsia="仿宋_GB2312"/>
          <w:color w:val="auto"/>
          <w:spacing w:val="-6"/>
          <w:sz w:val="32"/>
          <w:szCs w:val="32"/>
          <w:lang w:val="en-US" w:eastAsia="zh-CN"/>
        </w:rPr>
        <w:t>2006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lang w:val="en-US" w:eastAsia="zh-CN"/>
        </w:rPr>
        <w:t>年开始使用，并于</w:t>
      </w:r>
      <w:r>
        <w:rPr>
          <w:rFonts w:hint="eastAsia" w:ascii="Times New Roman" w:hAnsi="Times New Roman" w:eastAsia="仿宋_GB2312"/>
          <w:color w:val="auto"/>
          <w:spacing w:val="-6"/>
          <w:sz w:val="32"/>
          <w:szCs w:val="32"/>
        </w:rPr>
        <w:t>20</w:t>
      </w:r>
      <w:r>
        <w:rPr>
          <w:rFonts w:hint="eastAsia" w:ascii="Times New Roman" w:hAnsi="Times New Roman" w:eastAsia="仿宋_GB2312"/>
          <w:color w:val="auto"/>
          <w:spacing w:val="-6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lang w:val="en-US" w:eastAsia="zh-CN"/>
        </w:rPr>
        <w:t>09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lang w:eastAsia="zh-CN"/>
        </w:rPr>
        <w:t>中山柯鲁冠光电子器件制造有限公司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lang w:val="en-US" w:eastAsia="zh-CN"/>
        </w:rPr>
        <w:t>通过转让取得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</w:rPr>
        <w:t>。</w:t>
      </w:r>
    </w:p>
    <w:p>
      <w:pPr>
        <w:spacing w:line="574" w:lineRule="exact"/>
        <w:ind w:firstLine="616" w:firstLineChars="200"/>
        <w:rPr>
          <w:rFonts w:ascii="楷体" w:hAnsi="楷体" w:eastAsia="楷体" w:cs="楷体"/>
          <w:color w:val="auto"/>
          <w:spacing w:val="-6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pacing w:val="-6"/>
          <w:sz w:val="32"/>
          <w:szCs w:val="32"/>
        </w:rPr>
        <w:t>（四）土地利用现状情况</w:t>
      </w:r>
    </w:p>
    <w:p>
      <w:pPr>
        <w:spacing w:line="574" w:lineRule="exact"/>
        <w:ind w:firstLine="616" w:firstLineChars="200"/>
        <w:rPr>
          <w:rFonts w:hint="default" w:ascii="仿宋_GB2312" w:hAnsi="仿宋_GB2312" w:eastAsia="仿宋_GB2312" w:cs="仿宋_GB2312"/>
          <w:color w:val="auto"/>
          <w:spacing w:val="-6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改造地块最新土地利用现状为建设用地</w:t>
      </w:r>
      <w:r>
        <w:rPr>
          <w:rFonts w:hint="eastAsia" w:ascii="Times New Roman" w:hAnsi="Times New Roman" w:eastAsia="仿宋_GB2312"/>
          <w:color w:val="auto"/>
          <w:spacing w:val="-6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Times New Roman" w:hAnsi="Times New Roman" w:eastAsia="仿宋_GB2312"/>
          <w:color w:val="auto"/>
          <w:spacing w:val="-6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color w:val="auto"/>
          <w:spacing w:val="-6"/>
          <w:sz w:val="32"/>
          <w:szCs w:val="32"/>
          <w:highlight w:val="none"/>
          <w:lang w:val="en-US" w:eastAsia="zh-CN"/>
        </w:rPr>
        <w:t>6665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公顷（</w:t>
      </w:r>
      <w:r>
        <w:rPr>
          <w:rFonts w:hint="eastAsia" w:ascii="Times New Roman" w:hAnsi="Times New Roman" w:eastAsia="仿宋_GB2312"/>
          <w:color w:val="auto"/>
          <w:spacing w:val="-6"/>
          <w:sz w:val="32"/>
          <w:szCs w:val="32"/>
          <w:highlight w:val="none"/>
          <w:lang w:val="en-US" w:eastAsia="zh-CN"/>
        </w:rPr>
        <w:t>6664.90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平方米，折合约</w:t>
      </w:r>
      <w:r>
        <w:rPr>
          <w:rFonts w:hint="eastAsia" w:ascii="Times New Roman" w:hAnsi="Times New Roman" w:eastAsia="仿宋_GB2312"/>
          <w:color w:val="auto"/>
          <w:spacing w:val="-6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/>
          <w:color w:val="auto"/>
          <w:spacing w:val="-6"/>
          <w:sz w:val="32"/>
          <w:szCs w:val="32"/>
          <w:highlight w:val="none"/>
        </w:rPr>
        <w:t>0.</w:t>
      </w:r>
      <w:r>
        <w:rPr>
          <w:rFonts w:hint="eastAsia" w:ascii="Times New Roman" w:hAnsi="Times New Roman" w:eastAsia="仿宋_GB2312"/>
          <w:color w:val="auto"/>
          <w:spacing w:val="-6"/>
          <w:sz w:val="32"/>
          <w:szCs w:val="32"/>
          <w:highlight w:val="none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亩）</w:t>
      </w:r>
      <w:r>
        <w:rPr>
          <w:rFonts w:hint="default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 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，农用地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1.80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平方米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改造地块“二调”土地利用现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状为建设用</w:t>
      </w:r>
      <w:bookmarkEnd w:id="0"/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lang w:val="en-US" w:eastAsia="zh-CN"/>
        </w:rPr>
        <w:t>地</w:t>
      </w:r>
      <w:r>
        <w:rPr>
          <w:rFonts w:hint="eastAsia" w:ascii="Times New Roman" w:hAnsi="Times New Roman" w:eastAsia="仿宋_GB2312"/>
          <w:color w:val="auto"/>
          <w:spacing w:val="-6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/>
          <w:color w:val="auto"/>
          <w:spacing w:val="-6"/>
          <w:sz w:val="32"/>
          <w:szCs w:val="32"/>
        </w:rPr>
        <w:t>.</w:t>
      </w:r>
      <w:r>
        <w:rPr>
          <w:rFonts w:hint="eastAsia" w:ascii="Times New Roman" w:hAnsi="Times New Roman" w:eastAsia="仿宋_GB2312"/>
          <w:color w:val="auto"/>
          <w:spacing w:val="-6"/>
          <w:sz w:val="32"/>
          <w:szCs w:val="32"/>
          <w:lang w:val="en-US" w:eastAsia="zh-CN"/>
        </w:rPr>
        <w:t>6667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</w:rPr>
        <w:t>公顷（</w:t>
      </w:r>
      <w:r>
        <w:rPr>
          <w:rFonts w:hint="eastAsia" w:ascii="Times New Roman" w:hAnsi="Times New Roman" w:eastAsia="仿宋_GB2312"/>
          <w:color w:val="auto"/>
          <w:spacing w:val="-6"/>
          <w:sz w:val="32"/>
          <w:szCs w:val="32"/>
          <w:lang w:val="en-US" w:eastAsia="zh-CN"/>
        </w:rPr>
        <w:t>6666.7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</w:rPr>
        <w:t>平方米，折合约</w:t>
      </w:r>
      <w:r>
        <w:rPr>
          <w:rFonts w:hint="eastAsia" w:ascii="Times New Roman" w:hAnsi="Times New Roman" w:eastAsia="仿宋_GB2312"/>
          <w:color w:val="auto"/>
          <w:spacing w:val="-6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color w:val="auto"/>
          <w:spacing w:val="-6"/>
          <w:sz w:val="32"/>
          <w:szCs w:val="32"/>
        </w:rPr>
        <w:t>0.</w:t>
      </w:r>
      <w:r>
        <w:rPr>
          <w:rFonts w:hint="eastAsia" w:ascii="Times New Roman" w:hAnsi="Times New Roman" w:eastAsia="仿宋_GB2312"/>
          <w:color w:val="auto"/>
          <w:spacing w:val="-6"/>
          <w:sz w:val="32"/>
          <w:szCs w:val="32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</w:rPr>
        <w:t>亩）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lang w:val="en-US" w:eastAsia="zh-CN"/>
        </w:rPr>
        <w:t>。改造范围不涉及整体利用的边角地、夹心地、插花地（下称“三地”）、其他用地、征地留用地、与原“三旧”用地置换的“三旧”用地或其他存量建设用地、使用原“三旧”用地复垦产生的规模或指标的非建设用地。</w:t>
      </w:r>
    </w:p>
    <w:p>
      <w:pPr>
        <w:spacing w:line="574" w:lineRule="exact"/>
        <w:ind w:firstLine="616" w:firstLineChars="200"/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</w:rPr>
        <w:t>改造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lang w:val="en-US" w:eastAsia="zh-CN"/>
        </w:rPr>
        <w:t>地块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</w:rPr>
        <w:t>内现有</w:t>
      </w:r>
      <w:r>
        <w:rPr>
          <w:rFonts w:hint="eastAsia" w:ascii="Times New Roman" w:hAnsi="Times New Roman" w:eastAsia="仿宋_GB2312"/>
          <w:color w:val="auto"/>
          <w:spacing w:val="-6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</w:rPr>
        <w:t>栋建筑物，为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lang w:val="en-US" w:eastAsia="zh-CN"/>
        </w:rPr>
        <w:t>原产权人柯兰普•安德鲁海亚特</w:t>
      </w:r>
      <w:r>
        <w:rPr>
          <w:rFonts w:hint="eastAsia" w:ascii="Times New Roman" w:hAnsi="Times New Roman" w:eastAsia="仿宋_GB2312"/>
          <w:color w:val="auto"/>
          <w:spacing w:val="-6"/>
          <w:sz w:val="32"/>
          <w:szCs w:val="32"/>
          <w:lang w:val="en-US" w:eastAsia="zh-CN"/>
        </w:rPr>
        <w:t>(CRAMP ANDREW HYATT)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</w:rPr>
        <w:t>自</w:t>
      </w:r>
      <w:r>
        <w:rPr>
          <w:rFonts w:hint="eastAsia" w:ascii="Times New Roman" w:hAnsi="Times New Roman" w:eastAsia="仿宋_GB2312"/>
          <w:color w:val="auto"/>
          <w:spacing w:val="-6"/>
          <w:sz w:val="32"/>
          <w:szCs w:val="32"/>
        </w:rPr>
        <w:t>20</w:t>
      </w:r>
      <w:r>
        <w:rPr>
          <w:rFonts w:hint="eastAsia" w:ascii="Times New Roman" w:hAnsi="Times New Roman" w:eastAsia="仿宋_GB2312"/>
          <w:color w:val="auto"/>
          <w:spacing w:val="-6"/>
          <w:sz w:val="32"/>
          <w:szCs w:val="32"/>
          <w:lang w:val="en-US" w:eastAsia="zh-CN"/>
        </w:rPr>
        <w:t>06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auto"/>
          <w:spacing w:val="-6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</w:rPr>
        <w:t>月开始使用</w:t>
      </w:r>
      <w:r>
        <w:rPr>
          <w:rFonts w:hint="eastAsia" w:ascii="Times New Roman" w:hAnsi="Times New Roman" w:eastAsia="仿宋_GB2312"/>
          <w:color w:val="auto"/>
          <w:spacing w:val="-6"/>
          <w:sz w:val="32"/>
          <w:szCs w:val="32"/>
        </w:rPr>
        <w:t>，未办理规划报建等手续，</w:t>
      </w:r>
      <w:r>
        <w:rPr>
          <w:rFonts w:hint="eastAsia" w:ascii="Times New Roman" w:hAnsi="Times New Roman" w:eastAsia="仿宋_GB2312"/>
          <w:color w:val="auto"/>
          <w:spacing w:val="-6"/>
          <w:sz w:val="32"/>
          <w:szCs w:val="32"/>
          <w:lang w:val="en-US" w:eastAsia="zh-CN"/>
        </w:rPr>
        <w:t>原有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</w:rPr>
        <w:t>建筑面积约</w:t>
      </w:r>
      <w:r>
        <w:rPr>
          <w:rFonts w:hint="eastAsia" w:ascii="Times New Roman" w:hAnsi="Times New Roman" w:eastAsia="仿宋_GB2312"/>
          <w:color w:val="auto"/>
          <w:spacing w:val="-6"/>
          <w:sz w:val="32"/>
          <w:szCs w:val="32"/>
          <w:lang w:val="en-US" w:eastAsia="zh-CN"/>
        </w:rPr>
        <w:t>4000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</w:rPr>
        <w:t>平方米（不含不计容面积），容积率</w:t>
      </w:r>
      <w:r>
        <w:rPr>
          <w:rFonts w:hint="eastAsia" w:ascii="Times New Roman" w:hAnsi="Times New Roman" w:eastAsia="仿宋_GB2312"/>
          <w:color w:val="auto"/>
          <w:spacing w:val="-6"/>
          <w:sz w:val="32"/>
          <w:szCs w:val="32"/>
          <w:lang w:val="en-US" w:eastAsia="zh-CN"/>
        </w:rPr>
        <w:t>0.6</w:t>
      </w:r>
      <w:r>
        <w:rPr>
          <w:rFonts w:hint="eastAsia" w:ascii="Times New Roman" w:hAnsi="Times New Roman" w:eastAsia="仿宋_GB2312"/>
          <w:color w:val="auto"/>
          <w:spacing w:val="-6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color w:val="auto"/>
          <w:spacing w:val="-6"/>
          <w:sz w:val="32"/>
          <w:szCs w:val="32"/>
          <w:lang w:val="en-US" w:eastAsia="zh-CN"/>
        </w:rPr>
        <w:t>作工业厂房所用</w:t>
      </w:r>
      <w:r>
        <w:rPr>
          <w:rFonts w:hint="eastAsia" w:ascii="Times New Roman" w:hAnsi="Times New Roman" w:eastAsia="仿宋_GB2312"/>
          <w:color w:val="auto"/>
          <w:spacing w:val="-6"/>
          <w:sz w:val="32"/>
          <w:szCs w:val="32"/>
        </w:rPr>
        <w:t>。</w:t>
      </w:r>
      <w:r>
        <w:rPr>
          <w:rFonts w:hint="eastAsia" w:ascii="Times New Roman" w:hAnsi="Times New Roman" w:eastAsia="仿宋_GB2312"/>
          <w:color w:val="auto"/>
          <w:spacing w:val="-6"/>
          <w:sz w:val="32"/>
          <w:szCs w:val="32"/>
          <w:highlight w:val="none"/>
          <w:lang w:val="en-US" w:eastAsia="zh-CN"/>
        </w:rPr>
        <w:t>该地块目前</w:t>
      </w:r>
      <w:r>
        <w:rPr>
          <w:rFonts w:hint="eastAsia" w:ascii="Times New Roman" w:hAnsi="Times New Roman" w:eastAsia="仿宋_GB2312"/>
          <w:color w:val="auto"/>
          <w:spacing w:val="-6"/>
          <w:sz w:val="32"/>
          <w:szCs w:val="32"/>
          <w:lang w:val="en-US" w:eastAsia="zh-CN"/>
        </w:rPr>
        <w:t>已拆除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</w:rPr>
        <w:t>建筑面积约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/>
        </w:rPr>
        <w:t>4000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</w:rPr>
        <w:t>平方米，改造前年产值为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lang w:val="en-US" w:eastAsia="zh-CN"/>
        </w:rPr>
        <w:t>300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</w:rPr>
        <w:t>万元（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lang w:val="en-US" w:eastAsia="zh-CN"/>
        </w:rPr>
        <w:t>折合</w:t>
      </w:r>
      <w:r>
        <w:rPr>
          <w:rFonts w:hint="eastAsia" w:ascii="Times New Roman" w:hAnsi="Times New Roman" w:eastAsia="仿宋_GB2312"/>
          <w:color w:val="auto"/>
          <w:spacing w:val="-6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</w:rPr>
        <w:t>万元/亩），年税收为</w:t>
      </w:r>
      <w:r>
        <w:rPr>
          <w:rFonts w:hint="eastAsia" w:ascii="Times New Roman" w:hAnsi="Times New Roman" w:eastAsia="仿宋_GB2312"/>
          <w:color w:val="auto"/>
          <w:spacing w:val="-6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</w:rPr>
        <w:t>万元（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lang w:val="en-US" w:eastAsia="zh-CN"/>
        </w:rPr>
        <w:t>折合</w:t>
      </w:r>
      <w:r>
        <w:rPr>
          <w:rFonts w:hint="eastAsia" w:ascii="Times New Roman" w:hAnsi="Times New Roman" w:eastAsia="仿宋_GB2312"/>
          <w:color w:val="auto"/>
          <w:spacing w:val="-6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</w:rPr>
        <w:t>万元/亩）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lang w:eastAsia="zh-CN"/>
        </w:rPr>
        <w:t>。</w:t>
      </w:r>
    </w:p>
    <w:p>
      <w:pPr>
        <w:spacing w:line="574" w:lineRule="exact"/>
        <w:ind w:firstLine="616" w:firstLineChars="200"/>
        <w:rPr>
          <w:rFonts w:ascii="仿宋_GB2312" w:hAnsi="仿宋_GB2312" w:eastAsia="仿宋_GB2312" w:cs="仿宋_GB2312"/>
          <w:color w:val="auto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</w:rPr>
        <w:t>改造地块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lang w:val="en-US" w:eastAsia="zh-CN"/>
        </w:rPr>
        <w:t>未被认定为闲置。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</w:rPr>
        <w:t>改造地块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lang w:val="en-US" w:eastAsia="zh-CN"/>
        </w:rPr>
        <w:t>不涉及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</w:rPr>
        <w:t>历史文化资源要素和抵押等情况,不属于土地环境潜在监管地块范围。</w:t>
      </w:r>
    </w:p>
    <w:p>
      <w:pPr>
        <w:spacing w:line="574" w:lineRule="exact"/>
        <w:ind w:firstLine="616" w:firstLineChars="200"/>
        <w:rPr>
          <w:rFonts w:ascii="楷体" w:hAnsi="楷体" w:eastAsia="楷体" w:cs="楷体"/>
          <w:color w:val="auto"/>
          <w:spacing w:val="-6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pacing w:val="-6"/>
          <w:sz w:val="32"/>
          <w:szCs w:val="32"/>
        </w:rPr>
        <w:t>（五）规划情况</w:t>
      </w:r>
    </w:p>
    <w:p>
      <w:pPr>
        <w:spacing w:line="574" w:lineRule="exact"/>
        <w:ind w:firstLine="616" w:firstLineChars="200"/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</w:rPr>
        <w:t>改造地块符合国土空间总体规划、经批复的规划条件论证，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已纳入《中山市城市更新（“三旧”改造）专项规划（</w:t>
      </w:r>
      <w:r>
        <w:rPr>
          <w:rFonts w:hint="eastAsia" w:ascii="Times New Roman" w:hAnsi="Times New Roman" w:eastAsia="仿宋_GB2312"/>
          <w:color w:val="auto"/>
          <w:spacing w:val="-6"/>
          <w:sz w:val="32"/>
          <w:szCs w:val="32"/>
        </w:rPr>
        <w:t>2020-2035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）》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</w:rPr>
        <w:t>。其中，在国土空间总体规划中，属城乡建设用地</w:t>
      </w:r>
      <w:r>
        <w:rPr>
          <w:rFonts w:hint="eastAsia" w:ascii="Times New Roman" w:hAnsi="Times New Roman" w:eastAsia="仿宋_GB2312"/>
          <w:color w:val="auto"/>
          <w:spacing w:val="-6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/>
          <w:color w:val="auto"/>
          <w:spacing w:val="-6"/>
          <w:sz w:val="32"/>
          <w:szCs w:val="32"/>
        </w:rPr>
        <w:t>.</w:t>
      </w:r>
      <w:r>
        <w:rPr>
          <w:rFonts w:hint="eastAsia" w:ascii="Times New Roman" w:hAnsi="Times New Roman" w:eastAsia="仿宋_GB2312"/>
          <w:color w:val="auto"/>
          <w:spacing w:val="-6"/>
          <w:sz w:val="32"/>
          <w:szCs w:val="32"/>
          <w:lang w:val="en-US" w:eastAsia="zh-CN"/>
        </w:rPr>
        <w:t>6667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</w:rPr>
        <w:t>公顷（</w:t>
      </w:r>
      <w:r>
        <w:rPr>
          <w:rFonts w:hint="eastAsia" w:ascii="Times New Roman" w:hAnsi="Times New Roman" w:eastAsia="仿宋_GB2312"/>
          <w:color w:val="auto"/>
          <w:spacing w:val="-6"/>
          <w:sz w:val="32"/>
          <w:szCs w:val="32"/>
          <w:lang w:val="en-US" w:eastAsia="zh-CN"/>
        </w:rPr>
        <w:t>6666</w:t>
      </w:r>
      <w:r>
        <w:rPr>
          <w:rFonts w:hint="eastAsia" w:ascii="Times New Roman" w:hAnsi="Times New Roman" w:eastAsia="仿宋_GB2312"/>
          <w:color w:val="auto"/>
          <w:spacing w:val="-6"/>
          <w:sz w:val="32"/>
          <w:szCs w:val="32"/>
        </w:rPr>
        <w:t>.</w:t>
      </w:r>
      <w:r>
        <w:rPr>
          <w:rFonts w:hint="eastAsia" w:ascii="Times New Roman" w:hAnsi="Times New Roman" w:eastAsia="仿宋_GB2312"/>
          <w:color w:val="auto"/>
          <w:spacing w:val="-6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</w:rPr>
        <w:t>平方米，折合约</w:t>
      </w:r>
      <w:r>
        <w:rPr>
          <w:rFonts w:hint="eastAsia" w:ascii="Times New Roman" w:hAnsi="Times New Roman" w:eastAsia="仿宋_GB2312"/>
          <w:color w:val="auto"/>
          <w:spacing w:val="-6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color w:val="auto"/>
          <w:spacing w:val="-6"/>
          <w:sz w:val="32"/>
          <w:szCs w:val="32"/>
        </w:rPr>
        <w:t>0.</w:t>
      </w:r>
      <w:r>
        <w:rPr>
          <w:rFonts w:hint="eastAsia" w:ascii="Times New Roman" w:hAnsi="Times New Roman" w:eastAsia="仿宋_GB2312"/>
          <w:color w:val="auto"/>
          <w:spacing w:val="-6"/>
          <w:sz w:val="32"/>
          <w:szCs w:val="32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</w:rPr>
        <w:t>亩）；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在《中山市阜沙镇工业用地规划条件论证报告》（中府函〔</w:t>
      </w:r>
      <w:r>
        <w:rPr>
          <w:rFonts w:hint="eastAsia" w:ascii="Times New Roman" w:hAnsi="Times New Roman" w:eastAsia="仿宋_GB2312"/>
          <w:color w:val="auto"/>
          <w:spacing w:val="-6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〕</w:t>
      </w:r>
      <w:r>
        <w:rPr>
          <w:rFonts w:hint="eastAsia" w:ascii="Times New Roman" w:hAnsi="Times New Roman" w:eastAsia="仿宋_GB2312"/>
          <w:color w:val="auto"/>
          <w:spacing w:val="-6"/>
          <w:sz w:val="32"/>
          <w:szCs w:val="32"/>
        </w:rPr>
        <w:t>325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号）中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</w:rPr>
        <w:t>，一类工业用地</w:t>
      </w:r>
      <w:r>
        <w:rPr>
          <w:rFonts w:hint="eastAsia" w:ascii="Times New Roman" w:hAnsi="Times New Roman" w:eastAsia="仿宋_GB2312"/>
          <w:color w:val="auto"/>
          <w:spacing w:val="-6"/>
          <w:sz w:val="32"/>
          <w:szCs w:val="32"/>
          <w:lang w:val="en-US" w:eastAsia="zh-CN"/>
        </w:rPr>
        <w:t>0.6600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</w:rPr>
        <w:t>公顷（</w:t>
      </w:r>
      <w:r>
        <w:rPr>
          <w:rFonts w:hint="eastAsia" w:ascii="Times New Roman" w:hAnsi="Times New Roman" w:eastAsia="仿宋_GB2312"/>
          <w:color w:val="auto"/>
          <w:spacing w:val="-6"/>
          <w:sz w:val="32"/>
          <w:szCs w:val="32"/>
          <w:lang w:val="en-US" w:eastAsia="zh-CN"/>
        </w:rPr>
        <w:t>6599.92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</w:rPr>
        <w:t>平方米，折合约</w:t>
      </w:r>
      <w:r>
        <w:rPr>
          <w:rFonts w:hint="eastAsia" w:ascii="Times New Roman" w:hAnsi="Times New Roman" w:eastAsia="仿宋_GB2312"/>
          <w:color w:val="auto"/>
          <w:spacing w:val="-6"/>
          <w:sz w:val="32"/>
          <w:szCs w:val="32"/>
          <w:lang w:val="en-US" w:eastAsia="zh-CN"/>
        </w:rPr>
        <w:t>9.90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</w:rPr>
        <w:t>亩），规划容积率</w:t>
      </w:r>
      <w:r>
        <w:rPr>
          <w:rFonts w:hint="eastAsia" w:ascii="Times New Roman" w:hAnsi="Times New Roman" w:eastAsia="仿宋_GB2312"/>
          <w:color w:val="auto"/>
          <w:spacing w:val="-6"/>
          <w:sz w:val="32"/>
          <w:szCs w:val="32"/>
        </w:rPr>
        <w:t>2.0-3.5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</w:rPr>
        <w:t>，建筑密度</w:t>
      </w:r>
      <w:r>
        <w:rPr>
          <w:rFonts w:hint="eastAsia" w:ascii="Times New Roman" w:hAnsi="Times New Roman" w:eastAsia="仿宋_GB2312"/>
          <w:color w:val="auto"/>
          <w:spacing w:val="-6"/>
          <w:sz w:val="32"/>
          <w:szCs w:val="32"/>
        </w:rPr>
        <w:t>35%-60%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</w:rPr>
        <w:t>，绿地率</w:t>
      </w:r>
      <w:r>
        <w:rPr>
          <w:rFonts w:hint="eastAsia" w:ascii="Times New Roman" w:hAnsi="Times New Roman" w:eastAsia="仿宋_GB2312"/>
          <w:color w:val="auto"/>
          <w:spacing w:val="-6"/>
          <w:sz w:val="32"/>
          <w:szCs w:val="32"/>
        </w:rPr>
        <w:t>10%-15%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</w:rPr>
        <w:t>，生产性建筑高度≤</w:t>
      </w:r>
      <w:r>
        <w:rPr>
          <w:rFonts w:hint="eastAsia" w:ascii="Times New Roman" w:hAnsi="Times New Roman" w:eastAsia="仿宋_GB2312"/>
          <w:color w:val="auto"/>
          <w:spacing w:val="-6"/>
          <w:sz w:val="32"/>
          <w:szCs w:val="32"/>
        </w:rPr>
        <w:t>50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</w:rPr>
        <w:t>米，配套设施建筑高度≤</w:t>
      </w:r>
      <w:r>
        <w:rPr>
          <w:rFonts w:hint="eastAsia" w:ascii="Times New Roman" w:hAnsi="Times New Roman" w:eastAsia="仿宋_GB2312"/>
          <w:color w:val="auto"/>
          <w:spacing w:val="-6"/>
          <w:sz w:val="32"/>
          <w:szCs w:val="32"/>
        </w:rPr>
        <w:t>100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</w:rPr>
        <w:t>米；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lang w:val="en-US" w:eastAsia="zh-CN"/>
        </w:rPr>
        <w:t>城市道路用地</w:t>
      </w:r>
      <w:r>
        <w:rPr>
          <w:rFonts w:hint="eastAsia" w:ascii="Times New Roman" w:hAnsi="Times New Roman" w:eastAsia="仿宋_GB2312"/>
          <w:color w:val="auto"/>
          <w:spacing w:val="-6"/>
          <w:sz w:val="32"/>
          <w:szCs w:val="32"/>
          <w:lang w:val="en-US" w:eastAsia="zh-CN"/>
        </w:rPr>
        <w:t>0.0067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</w:rPr>
        <w:t>公顷（</w:t>
      </w:r>
      <w:r>
        <w:rPr>
          <w:rFonts w:hint="eastAsia" w:ascii="Times New Roman" w:hAnsi="Times New Roman" w:eastAsia="仿宋_GB2312"/>
          <w:color w:val="auto"/>
          <w:spacing w:val="-6"/>
          <w:sz w:val="32"/>
          <w:szCs w:val="32"/>
          <w:lang w:val="en-US" w:eastAsia="zh-CN"/>
        </w:rPr>
        <w:t>66.78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</w:rPr>
        <w:t>平方米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，折合约</w:t>
      </w:r>
      <w:r>
        <w:rPr>
          <w:rFonts w:hint="eastAsia" w:ascii="Times New Roman" w:hAnsi="Times New Roman" w:eastAsia="仿宋_GB2312"/>
          <w:color w:val="auto"/>
          <w:spacing w:val="-6"/>
          <w:sz w:val="32"/>
          <w:szCs w:val="32"/>
          <w:highlight w:val="none"/>
          <w:lang w:val="en-US" w:eastAsia="zh-CN"/>
        </w:rPr>
        <w:t>0.10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亩）。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具体以实际审批为准。</w:t>
      </w:r>
    </w:p>
    <w:p>
      <w:pPr>
        <w:spacing w:line="574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改造地块位于“三区三线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城镇开发</w:t>
      </w:r>
      <w:r>
        <w:rPr>
          <w:rFonts w:hint="eastAsia" w:ascii="仿宋_GB2312" w:hAnsi="仿宋_GB2312" w:eastAsia="仿宋_GB2312" w:cs="仿宋_GB2312"/>
          <w:sz w:val="32"/>
          <w:szCs w:val="32"/>
        </w:rPr>
        <w:t>边界内，符合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在编的</w:t>
      </w:r>
      <w:r>
        <w:rPr>
          <w:rFonts w:hint="eastAsia" w:ascii="仿宋_GB2312" w:hAnsi="仿宋_GB2312" w:eastAsia="仿宋_GB2312" w:cs="仿宋_GB2312"/>
          <w:sz w:val="32"/>
          <w:szCs w:val="32"/>
        </w:rPr>
        <w:t>工业用地保护线管控要求，不涉及永久基本农田和生态保护红线、森林资源等管控要求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lang w:val="en-US" w:eastAsia="zh-CN"/>
        </w:rPr>
        <w:t>。</w:t>
      </w:r>
    </w:p>
    <w:p>
      <w:pPr>
        <w:spacing w:line="574" w:lineRule="exact"/>
        <w:ind w:firstLine="616" w:firstLineChars="200"/>
        <w:rPr>
          <w:rFonts w:ascii="黑体" w:hAnsi="黑体" w:eastAsia="黑体" w:cs="黑体"/>
          <w:color w:val="auto"/>
          <w:spacing w:val="-6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</w:rPr>
        <w:t>二、改造意愿情况</w:t>
      </w:r>
    </w:p>
    <w:p>
      <w:pPr>
        <w:spacing w:line="574" w:lineRule="exact"/>
        <w:ind w:firstLine="616" w:firstLineChars="200"/>
        <w:rPr>
          <w:rFonts w:ascii="仿宋_GB2312" w:hAnsi="仿宋_GB2312" w:eastAsia="仿宋_GB2312" w:cs="仿宋_GB2312"/>
          <w:color w:val="auto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</w:rPr>
        <w:t>改造范围涉及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lang w:eastAsia="zh-CN"/>
        </w:rPr>
        <w:t>中山柯鲁冠光电子器件制造有限公司</w:t>
      </w:r>
      <w:r>
        <w:rPr>
          <w:rFonts w:hint="eastAsia" w:ascii="Times New Roman" w:hAnsi="Times New Roman" w:eastAsia="仿宋_GB2312"/>
          <w:color w:val="auto"/>
          <w:spacing w:val="-6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</w:rPr>
        <w:t>个权利主体，阜沙镇人民政府已按照法律法规，就改造范围、土地现状、改造主体及拟改造情况等事项征询涉及权利主体改造意愿，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同意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</w:rPr>
        <w:t>将涉及土地、房屋纳入改造范围。</w:t>
      </w:r>
    </w:p>
    <w:p>
      <w:pPr>
        <w:spacing w:line="574" w:lineRule="exact"/>
        <w:ind w:firstLine="616" w:firstLineChars="200"/>
        <w:rPr>
          <w:rFonts w:ascii="黑体" w:hAnsi="黑体" w:eastAsia="黑体" w:cs="黑体"/>
          <w:color w:val="auto"/>
          <w:spacing w:val="-6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</w:rPr>
        <w:t>三、改造主体及拟改造情况</w:t>
      </w:r>
    </w:p>
    <w:p>
      <w:pPr>
        <w:spacing w:line="574" w:lineRule="exact"/>
        <w:ind w:firstLine="616" w:firstLineChars="200"/>
        <w:rPr>
          <w:rFonts w:ascii="仿宋_GB2312" w:hAnsi="仿宋_GB2312" w:eastAsia="仿宋_GB2312" w:cs="仿宋_GB2312"/>
          <w:color w:val="auto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</w:rPr>
        <w:t>根据有关规划要求，改造项目严格按照国土空间总体规划、经批复的规划条件论证管控要求实施建设。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在规划中属非建设用地部分，按照非建设用地进行管控；在详细规划中属公益性用地部分，日后属地政府需按规划开发建设时，应无偿将用地交给属地政府使用。</w:t>
      </w:r>
    </w:p>
    <w:p>
      <w:pPr>
        <w:spacing w:line="574" w:lineRule="exact"/>
        <w:ind w:firstLine="616" w:firstLineChars="200"/>
        <w:rPr>
          <w:rFonts w:hint="eastAsia" w:ascii="仿宋_GB2312" w:hAnsi="仿宋_GB2312" w:eastAsia="仿宋_GB2312" w:cs="仿宋_GB2312"/>
          <w:color w:val="0000FF"/>
          <w:spacing w:val="-6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</w:rPr>
        <w:t>改造项目属“工改工”宗地项目，拟采取权利人自主改造方式，由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lang w:eastAsia="zh-CN"/>
        </w:rPr>
        <w:t>中山柯鲁冠光电子器件制造有限公司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</w:rPr>
        <w:t>作为改造主体，实施全面改造。改造后将用于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lang w:val="en-US" w:eastAsia="zh-CN"/>
        </w:rPr>
        <w:t>电子电器、无刷电机、家用电器、五金电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子、电子商务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等产业，在符合详细规划的基础上，容积率不小于</w:t>
      </w:r>
      <w:r>
        <w:rPr>
          <w:rFonts w:hint="eastAsia" w:ascii="Times New Roman" w:hAnsi="Times New Roman" w:eastAsia="仿宋_GB2312"/>
          <w:color w:val="auto"/>
          <w:spacing w:val="-6"/>
          <w:sz w:val="32"/>
          <w:szCs w:val="32"/>
          <w:highlight w:val="none"/>
          <w:lang w:val="en-US" w:eastAsia="zh-CN"/>
        </w:rPr>
        <w:t>2.0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，新建建筑面积不小于13333.42平方米（不含不计容建筑面积），不保留原有建筑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项目申请分割销售，自持比例不小于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51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。</w:t>
      </w:r>
    </w:p>
    <w:p>
      <w:pPr>
        <w:spacing w:line="574" w:lineRule="atLeast"/>
        <w:ind w:firstLine="616" w:firstLineChars="200"/>
        <w:jc w:val="left"/>
        <w:rPr>
          <w:rFonts w:ascii="仿宋_GB2312" w:hAnsi="仿宋_GB2312" w:eastAsia="仿宋_GB2312" w:cs="仿宋_GB2312"/>
          <w:color w:val="auto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</w:rPr>
        <w:t>项目相关情况符合国家《产业结构调整指导目录》《中山市“三线一单”生态环境分区管控方案》及《中山市涉挥发性有机物项目环保管理规定》。改造后年产值将达到</w:t>
      </w:r>
      <w:r>
        <w:rPr>
          <w:rFonts w:hint="eastAsia" w:ascii="Times New Roman" w:hAnsi="Times New Roman" w:eastAsia="仿宋_GB2312"/>
          <w:color w:val="auto"/>
          <w:spacing w:val="-6"/>
          <w:sz w:val="32"/>
          <w:szCs w:val="32"/>
          <w:lang w:val="en-US" w:eastAsia="zh-CN"/>
        </w:rPr>
        <w:t>4000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</w:rPr>
        <w:t>万元（折合</w:t>
      </w:r>
      <w:r>
        <w:rPr>
          <w:rFonts w:hint="eastAsia" w:ascii="Times New Roman" w:hAnsi="Times New Roman" w:eastAsia="仿宋_GB2312"/>
          <w:color w:val="auto"/>
          <w:spacing w:val="-6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color w:val="auto"/>
          <w:spacing w:val="-6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</w:rPr>
        <w:t>万/亩），年税收将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达到</w:t>
      </w:r>
      <w:r>
        <w:rPr>
          <w:rFonts w:hint="eastAsia" w:ascii="Times New Roman" w:hAnsi="Times New Roman" w:eastAsia="仿宋_GB2312"/>
          <w:color w:val="auto"/>
          <w:spacing w:val="-6"/>
          <w:sz w:val="32"/>
          <w:szCs w:val="32"/>
          <w:highlight w:val="none"/>
          <w:lang w:val="en-US" w:eastAsia="zh-CN"/>
        </w:rPr>
        <w:t>150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万元（折合</w:t>
      </w:r>
      <w:r>
        <w:rPr>
          <w:rFonts w:hint="eastAsia" w:ascii="Times New Roman" w:hAnsi="Times New Roman" w:eastAsia="仿宋_GB2312"/>
          <w:color w:val="auto"/>
          <w:spacing w:val="-6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万/亩）。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投资强度、年产值和年税收标准三者满足其二，视为满足经济指标标准。</w:t>
      </w:r>
    </w:p>
    <w:p>
      <w:pPr>
        <w:numPr>
          <w:ilvl w:val="0"/>
          <w:numId w:val="1"/>
        </w:numPr>
        <w:spacing w:line="574" w:lineRule="exact"/>
        <w:ind w:firstLine="616" w:firstLineChars="200"/>
        <w:rPr>
          <w:rFonts w:ascii="黑体" w:hAnsi="黑体" w:eastAsia="黑体" w:cs="黑体"/>
          <w:color w:val="auto"/>
          <w:spacing w:val="-6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</w:rPr>
        <w:t>资金筹措</w:t>
      </w:r>
    </w:p>
    <w:p>
      <w:pPr>
        <w:spacing w:line="574" w:lineRule="exact"/>
        <w:ind w:firstLine="592"/>
        <w:rPr>
          <w:rFonts w:ascii="仿宋_GB2312" w:hAnsi="仿宋_GB2312" w:eastAsia="仿宋_GB2312" w:cs="仿宋_GB2312"/>
          <w:color w:val="auto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lang w:val="en-US" w:eastAsia="zh-CN"/>
        </w:rPr>
        <w:t>改造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</w:rPr>
        <w:t>主体拟投入资金</w:t>
      </w:r>
      <w:r>
        <w:rPr>
          <w:rFonts w:hint="eastAsia" w:ascii="Times New Roman" w:hAnsi="Times New Roman" w:eastAsia="仿宋_GB2312"/>
          <w:color w:val="auto"/>
          <w:spacing w:val="-6"/>
          <w:sz w:val="32"/>
          <w:szCs w:val="32"/>
          <w:lang w:val="en-US" w:eastAsia="zh-CN"/>
        </w:rPr>
        <w:t>5000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</w:rPr>
        <w:t>万元，其中自有资金</w:t>
      </w:r>
      <w:r>
        <w:rPr>
          <w:rFonts w:hint="eastAsia" w:ascii="Times New Roman" w:hAnsi="Times New Roman" w:eastAsia="仿宋_GB2312"/>
          <w:color w:val="auto"/>
          <w:spacing w:val="-6"/>
          <w:sz w:val="32"/>
          <w:szCs w:val="32"/>
          <w:lang w:val="en-US" w:eastAsia="zh-CN"/>
        </w:rPr>
        <w:t>3000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lang w:val="en-US" w:eastAsia="zh-CN"/>
        </w:rPr>
        <w:t>,银行借贷2000万元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</w:rPr>
        <w:t>。</w:t>
      </w:r>
    </w:p>
    <w:p>
      <w:pPr>
        <w:numPr>
          <w:ilvl w:val="0"/>
          <w:numId w:val="1"/>
        </w:numPr>
        <w:spacing w:line="574" w:lineRule="exact"/>
        <w:ind w:firstLine="616" w:firstLineChars="200"/>
        <w:rPr>
          <w:rFonts w:ascii="黑体" w:hAnsi="黑体" w:eastAsia="黑体" w:cs="黑体"/>
          <w:color w:val="auto"/>
          <w:spacing w:val="-6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</w:rPr>
        <w:t>开发时序</w:t>
      </w:r>
    </w:p>
    <w:p>
      <w:pPr>
        <w:spacing w:line="574" w:lineRule="exact"/>
        <w:ind w:firstLine="592"/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取得改造方案批复之日起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365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日开工，自开工之日起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730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日内竣工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eastAsia="zh-CN"/>
        </w:rPr>
        <w:t>新建建筑面积不小于13333.42平方米（不含不计容建筑面积），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主要实施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建设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工业厂房和配套设施。</w:t>
      </w:r>
    </w:p>
    <w:p>
      <w:pPr>
        <w:spacing w:line="574" w:lineRule="exact"/>
        <w:ind w:firstLine="616" w:firstLineChars="200"/>
        <w:rPr>
          <w:rFonts w:ascii="黑体" w:hAnsi="黑体" w:eastAsia="黑体" w:cs="黑体"/>
          <w:color w:val="auto"/>
          <w:spacing w:val="-6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</w:rPr>
        <w:t>六、实施监管</w:t>
      </w:r>
    </w:p>
    <w:p>
      <w:pPr>
        <w:spacing w:line="574" w:lineRule="exact"/>
        <w:ind w:firstLine="616" w:firstLineChars="200"/>
        <w:rPr>
          <w:rFonts w:ascii="仿宋_GB2312" w:hAnsi="仿宋_GB2312" w:eastAsia="仿宋_GB2312" w:cs="仿宋_GB2312"/>
          <w:color w:val="auto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</w:rPr>
        <w:t>详见项目实施监管协议。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A8AD6"/>
    <w:multiLevelType w:val="singleLevel"/>
    <w:tmpl w:val="61CA8AD6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1YzkwOWI0Mzg1MDk3Nzc4NzFiN2ZiNTMxNDI5N2MifQ=="/>
  </w:docVars>
  <w:rsids>
    <w:rsidRoot w:val="00000000"/>
    <w:rsid w:val="01442360"/>
    <w:rsid w:val="04C924C0"/>
    <w:rsid w:val="10014143"/>
    <w:rsid w:val="10D51D01"/>
    <w:rsid w:val="189121E1"/>
    <w:rsid w:val="2291050E"/>
    <w:rsid w:val="2ADB463C"/>
    <w:rsid w:val="2E68303C"/>
    <w:rsid w:val="31BA3635"/>
    <w:rsid w:val="3B4918D6"/>
    <w:rsid w:val="3E5148C8"/>
    <w:rsid w:val="442E30DC"/>
    <w:rsid w:val="48B70FF3"/>
    <w:rsid w:val="4F6F6F83"/>
    <w:rsid w:val="5E9D1BD9"/>
    <w:rsid w:val="61375E6A"/>
    <w:rsid w:val="629D3987"/>
    <w:rsid w:val="700442A3"/>
    <w:rsid w:val="73106D01"/>
    <w:rsid w:val="768F7E10"/>
    <w:rsid w:val="7A586E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560" w:lineRule="exact"/>
      <w:outlineLvl w:val="1"/>
    </w:pPr>
    <w:rPr>
      <w:rFonts w:ascii="Arial" w:hAnsi="Arial" w:eastAsia="黑体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480"/>
    </w:pPr>
    <w:rPr>
      <w:rFonts w:ascii="宋体" w:hAnsi="宋体"/>
      <w:color w:val="000000"/>
      <w:sz w:val="24"/>
    </w:rPr>
  </w:style>
  <w:style w:type="paragraph" w:styleId="4">
    <w:name w:val="toa heading"/>
    <w:basedOn w:val="1"/>
    <w:next w:val="1"/>
    <w:qFormat/>
    <w:uiPriority w:val="0"/>
    <w:pPr>
      <w:widowControl/>
      <w:spacing w:before="120" w:after="100" w:afterAutospacing="1"/>
    </w:pPr>
    <w:rPr>
      <w:rFonts w:ascii="Arial" w:hAnsi="Arial" w:cs="Arial"/>
      <w:sz w:val="24"/>
      <w:lang w:bidi="gu-IN"/>
    </w:rPr>
  </w:style>
  <w:style w:type="paragraph" w:styleId="5">
    <w:name w:val="annotation text"/>
    <w:basedOn w:val="1"/>
    <w:unhideWhenUsed/>
    <w:qFormat/>
    <w:uiPriority w:val="99"/>
    <w:pPr>
      <w:jc w:val="left"/>
    </w:p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annotation reference"/>
    <w:basedOn w:val="9"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Char"/>
    <w:basedOn w:val="9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3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1648</Words>
  <Characters>1848</Characters>
  <Lines>14</Lines>
  <Paragraphs>4</Paragraphs>
  <TotalTime>0</TotalTime>
  <ScaleCrop>false</ScaleCrop>
  <LinksUpToDate>false</LinksUpToDate>
  <CharactersWithSpaces>1849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2022-10-22T00:30:00Z</dcterms:created>
  <dc:creator>Administrator</dc:creator>
  <cp:lastModifiedBy>Z</cp:lastModifiedBy>
  <cp:lastPrinted>2022-12-27T23:07:00Z</cp:lastPrinted>
  <dcterms:modified xsi:type="dcterms:W3CDTF">2024-11-28T03:20:00Z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BA48BF3C973D4F95A5A2A313B08F8DB1_13</vt:lpwstr>
  </property>
</Properties>
</file>