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100" w:after="10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中山市2025年国有建设用地基准地价更新项目采购需求书</w:t>
      </w:r>
    </w:p>
    <w:p>
      <w:pPr>
        <w:pStyle w:val="5"/>
        <w:keepNext/>
        <w:keepLines/>
        <w:pageBreakBefore w:val="0"/>
        <w:widowControl w:val="0"/>
        <w:kinsoku/>
        <w:wordWrap/>
        <w:overflowPunct/>
        <w:topLinePunct w:val="0"/>
        <w:autoSpaceDE/>
        <w:autoSpaceDN/>
        <w:bidi w:val="0"/>
        <w:adjustRightInd/>
        <w:snapToGrid/>
        <w:spacing w:before="100" w:after="100" w:line="560" w:lineRule="exact"/>
        <w:textAlignment w:val="auto"/>
        <w:rPr>
          <w:rFonts w:hint="eastAsia" w:cs="Times New Roman"/>
          <w:b/>
          <w:bCs w:val="0"/>
          <w:sz w:val="21"/>
          <w:szCs w:val="21"/>
        </w:rPr>
      </w:pPr>
      <w:r>
        <w:rPr>
          <w:rFonts w:hint="eastAsia" w:cs="Times New Roman"/>
          <w:b/>
          <w:bCs w:val="0"/>
          <w:sz w:val="21"/>
          <w:szCs w:val="21"/>
        </w:rPr>
        <w:t>一、项目</w:t>
      </w:r>
      <w:r>
        <w:rPr>
          <w:rFonts w:hint="eastAsia" w:cs="Times New Roman"/>
          <w:b/>
          <w:bCs w:val="0"/>
          <w:sz w:val="21"/>
          <w:szCs w:val="21"/>
          <w:lang w:eastAsia="zh-CN"/>
        </w:rPr>
        <w:t>概</w:t>
      </w:r>
      <w:r>
        <w:rPr>
          <w:rFonts w:hint="eastAsia" w:cs="Times New Roman"/>
          <w:b/>
          <w:bCs w:val="0"/>
          <w:sz w:val="21"/>
          <w:szCs w:val="21"/>
        </w:rPr>
        <w:t>况</w:t>
      </w:r>
    </w:p>
    <w:p>
      <w:pPr>
        <w:pStyle w:val="6"/>
        <w:keepNext/>
        <w:keepLines/>
        <w:pageBreakBefore w:val="0"/>
        <w:widowControl w:val="0"/>
        <w:kinsoku/>
        <w:wordWrap/>
        <w:overflowPunct/>
        <w:topLinePunct w:val="0"/>
        <w:autoSpaceDE/>
        <w:autoSpaceDN/>
        <w:bidi w:val="0"/>
        <w:adjustRightInd/>
        <w:snapToGrid/>
        <w:spacing w:before="60" w:after="6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1项目名称：中山市2025年国有建设用地基准地价更新项目</w:t>
      </w:r>
    </w:p>
    <w:p>
      <w:pPr>
        <w:pStyle w:val="6"/>
        <w:keepNext/>
        <w:keepLines/>
        <w:pageBreakBefore w:val="0"/>
        <w:widowControl w:val="0"/>
        <w:kinsoku/>
        <w:wordWrap/>
        <w:overflowPunct/>
        <w:topLinePunct w:val="0"/>
        <w:autoSpaceDE/>
        <w:autoSpaceDN/>
        <w:bidi w:val="0"/>
        <w:adjustRightInd/>
        <w:snapToGrid/>
        <w:spacing w:before="60" w:after="6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lang w:val="en" w:eastAsia="zh-CN"/>
        </w:rPr>
        <w:t>服务期限（含质量保证维护期）：自服务合同签订之日起至项目全部完成及项目质量保证维护期满。项目质量保证维护期为项目地价验收通过后至该地价下次更新验收通过前，包括项目成果的维护。</w:t>
      </w:r>
    </w:p>
    <w:p>
      <w:pPr>
        <w:pageBreakBefore w:val="0"/>
        <w:widowControl w:val="0"/>
        <w:kinsoku/>
        <w:wordWrap/>
        <w:overflowPunct/>
        <w:topLinePunct w:val="0"/>
        <w:autoSpaceDE/>
        <w:autoSpaceDN/>
        <w:bidi w:val="0"/>
        <w:adjustRightInd/>
        <w:snapToGrid/>
        <w:spacing w:before="60" w:beforeLines="0" w:after="60" w:afterLines="0" w:line="460" w:lineRule="exact"/>
        <w:ind w:firstLine="420" w:firstLineChars="20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 预算金额：770000.00元（77万元）</w:t>
      </w:r>
    </w:p>
    <w:p>
      <w:pPr>
        <w:pageBreakBefore w:val="0"/>
        <w:widowControl w:val="0"/>
        <w:kinsoku/>
        <w:wordWrap/>
        <w:overflowPunct/>
        <w:topLinePunct w:val="0"/>
        <w:autoSpaceDE/>
        <w:autoSpaceDN/>
        <w:bidi w:val="0"/>
        <w:adjustRightInd/>
        <w:snapToGrid/>
        <w:spacing w:before="60" w:beforeLines="0" w:after="60" w:afterLines="0" w:line="460" w:lineRule="exact"/>
        <w:ind w:firstLine="420" w:firstLineChars="20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4 最高限价：770000.00元(报价超过限价，视为无效报价)</w:t>
      </w:r>
    </w:p>
    <w:p>
      <w:pPr>
        <w:pageBreakBefore w:val="0"/>
        <w:widowControl w:val="0"/>
        <w:numPr>
          <w:ilvl w:val="0"/>
          <w:numId w:val="0"/>
        </w:numPr>
        <w:kinsoku/>
        <w:wordWrap/>
        <w:overflowPunct/>
        <w:topLinePunct w:val="0"/>
        <w:autoSpaceDE/>
        <w:autoSpaceDN/>
        <w:bidi w:val="0"/>
        <w:adjustRightInd/>
        <w:snapToGrid/>
        <w:spacing w:before="60" w:beforeLines="0" w:after="60" w:afterLines="0" w:line="460" w:lineRule="exact"/>
        <w:textAlignment w:val="auto"/>
        <w:rPr>
          <w:rFonts w:hint="eastAsia"/>
          <w:b/>
          <w:bCs w:val="0"/>
          <w:sz w:val="21"/>
          <w:szCs w:val="21"/>
          <w:lang w:eastAsia="zh-CN"/>
        </w:rPr>
      </w:pPr>
      <w:r>
        <w:rPr>
          <w:rFonts w:hint="eastAsia"/>
          <w:b/>
          <w:bCs w:val="0"/>
          <w:sz w:val="21"/>
          <w:szCs w:val="21"/>
          <w:lang w:eastAsia="zh-CN"/>
        </w:rPr>
        <w:t>二、总体要求</w:t>
      </w:r>
    </w:p>
    <w:p>
      <w:pPr>
        <w:pageBreakBefore w:val="0"/>
        <w:widowControl w:val="0"/>
        <w:numPr>
          <w:ilvl w:val="0"/>
          <w:numId w:val="0"/>
        </w:numPr>
        <w:kinsoku/>
        <w:wordWrap/>
        <w:overflowPunct/>
        <w:topLinePunct w:val="0"/>
        <w:autoSpaceDE/>
        <w:autoSpaceDN/>
        <w:bidi w:val="0"/>
        <w:adjustRightInd/>
        <w:snapToGrid/>
        <w:spacing w:before="60" w:beforeLines="0" w:after="60" w:afterLines="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项目背景概述：为加强地价管理，及时反映中山市土地市场变化情况，构建符合中山市实际情况的公示地价管理体系，结合国家和省对自然资源管理的要求，开展本次地价更新工作。具体项目背景如下：根据《中华人民共和国土地管理法》《中华人民共和国城市房地产管理法》《广东省国土资源厅关于进一步严格规范基准地价管理的通知》（粤国土资利用发〔2018〕8号）等规定，政府应定期确定并公布基准地价，基准地价原则上每2至3年更新一次，最长不得超过3年；《广东省自然资源厅转发自然资源部办公厅关于做好2022年度自然资源评价评估工作的通知》（粤自然资利用〔2022〕1274号），基准地价应定期更新完成，存在未完成事项的地区，要同步推进相关工作事项，抓紧完善城乡公示地价体系建设；《自然资源部办公厅关于加强城镇建设用地基准地价管理的通知》（自然资办发〔2024〕45号），基准地价原则上每3年全面更新一次，土地级别因素、土地质量空间分布或不动产市场价格水平发生重大变化时，基准地价应当及时更新。中山市现行国有建设用地基准地价基准日为2022年1月1日，距今已超过3年，需按时开展中山市2025年国有建设建设用地基准地价更新工作。</w:t>
      </w:r>
    </w:p>
    <w:p>
      <w:pPr>
        <w:pageBreakBefore w:val="0"/>
        <w:widowControl w:val="0"/>
        <w:numPr>
          <w:ilvl w:val="0"/>
          <w:numId w:val="0"/>
        </w:numPr>
        <w:kinsoku/>
        <w:wordWrap/>
        <w:overflowPunct/>
        <w:topLinePunct w:val="0"/>
        <w:autoSpaceDE/>
        <w:autoSpaceDN/>
        <w:bidi w:val="0"/>
        <w:adjustRightInd/>
        <w:snapToGrid/>
        <w:spacing w:before="60" w:beforeLines="0" w:after="60" w:afterLines="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2报价费用界定：采购需求中如未特殊注明费用由采购人支付的，则默认由中标人支付。投标人需充分了解本项目需求后进行综合考虑，报出合理价格并承担相应风险。</w:t>
      </w:r>
    </w:p>
    <w:p>
      <w:pPr>
        <w:pageBreakBefore w:val="0"/>
        <w:widowControl w:val="0"/>
        <w:numPr>
          <w:ilvl w:val="0"/>
          <w:numId w:val="0"/>
        </w:numPr>
        <w:kinsoku/>
        <w:wordWrap/>
        <w:overflowPunct/>
        <w:topLinePunct w:val="0"/>
        <w:autoSpaceDE/>
        <w:autoSpaceDN/>
        <w:bidi w:val="0"/>
        <w:adjustRightInd/>
        <w:snapToGrid/>
        <w:spacing w:before="60" w:beforeLines="0" w:after="60" w:afterLines="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报价构成及风险说明：投标人投标报价包括但不限于：进驻人员工资、加班费用、社会保险、各类补贴、福利费等人员成本费用，以及离职经济补偿费用、交通费、就餐费、通讯费等各项费用、税费、合理利润、风险费用及合同签订过程中可预见和不可预见费用等。</w:t>
      </w:r>
    </w:p>
    <w:p>
      <w:pPr>
        <w:pageBreakBefore w:val="0"/>
        <w:widowControl w:val="0"/>
        <w:numPr>
          <w:ilvl w:val="0"/>
          <w:numId w:val="0"/>
        </w:numPr>
        <w:kinsoku/>
        <w:wordWrap/>
        <w:overflowPunct/>
        <w:topLinePunct w:val="0"/>
        <w:autoSpaceDE/>
        <w:autoSpaceDN/>
        <w:bidi w:val="0"/>
        <w:adjustRightInd/>
        <w:snapToGrid/>
        <w:spacing w:before="60" w:beforeLines="0" w:after="60" w:afterLines="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4保密规定：合同期内，中标人对本项目收集到的有关文件、图纸、资料等负有保密责任，未经采购人许可，不得向采购人以外的任何其他单位或个人提供。否则，采购人保留追究中标人法律责任的权利。</w:t>
      </w:r>
    </w:p>
    <w:p>
      <w:pPr>
        <w:pStyle w:val="6"/>
        <w:keepNext/>
        <w:keepLines/>
        <w:pageBreakBefore w:val="0"/>
        <w:widowControl w:val="0"/>
        <w:kinsoku/>
        <w:wordWrap/>
        <w:overflowPunct/>
        <w:topLinePunct w:val="0"/>
        <w:autoSpaceDE/>
        <w:autoSpaceDN/>
        <w:bidi w:val="0"/>
        <w:adjustRightInd/>
        <w:snapToGrid/>
        <w:spacing w:before="60" w:after="6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4.1中标人应采取有效的措施，预防工作人员泄露本项目的保密信息，严禁对保密内容进行与本项目无关的复制。</w:t>
      </w:r>
    </w:p>
    <w:p>
      <w:pPr>
        <w:pStyle w:val="6"/>
        <w:keepNext/>
        <w:keepLines/>
        <w:pageBreakBefore w:val="0"/>
        <w:widowControl w:val="0"/>
        <w:kinsoku/>
        <w:wordWrap/>
        <w:overflowPunct/>
        <w:topLinePunct w:val="0"/>
        <w:autoSpaceDE/>
        <w:autoSpaceDN/>
        <w:bidi w:val="0"/>
        <w:adjustRightInd/>
        <w:snapToGrid/>
        <w:spacing w:before="60" w:after="6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4.2保密内容：根据《中华人民共和国保密法》及相关法规的规定，本项目的保密内容为中标人在履行本项目过程中涉及的会议内容、业务程序及方式、管 理的方法制度、专业技术及全部资料。</w:t>
      </w:r>
    </w:p>
    <w:p>
      <w:pPr>
        <w:pStyle w:val="6"/>
        <w:keepNext/>
        <w:keepLines/>
        <w:pageBreakBefore w:val="0"/>
        <w:widowControl w:val="0"/>
        <w:kinsoku/>
        <w:wordWrap/>
        <w:overflowPunct/>
        <w:topLinePunct w:val="0"/>
        <w:autoSpaceDE/>
        <w:autoSpaceDN/>
        <w:bidi w:val="0"/>
        <w:adjustRightInd/>
        <w:snapToGrid/>
        <w:spacing w:before="60" w:after="6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工作效率优化提升,信息化技术手段：投标人尽可能地利用信息化技术手段提供服务效率，提升服务品质，投标人需阐述拟投入的信息化技术使用的总体设计，或是与之相关的软件开发的体系架构、功能模块、实现思路和关键技术路线等，提供针对本项目的相关管理信息化技术应用方案，并在中标后投入使用。</w:t>
      </w:r>
    </w:p>
    <w:p>
      <w:pPr>
        <w:pStyle w:val="6"/>
        <w:keepNext/>
        <w:keepLines/>
        <w:pageBreakBefore w:val="0"/>
        <w:widowControl w:val="0"/>
        <w:kinsoku/>
        <w:wordWrap/>
        <w:overflowPunct/>
        <w:topLinePunct w:val="0"/>
        <w:autoSpaceDE/>
        <w:autoSpaceDN/>
        <w:bidi w:val="0"/>
        <w:adjustRightInd/>
        <w:snapToGrid/>
        <w:spacing w:before="60" w:after="6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6禁止转包：不得将本项目转包。</w:t>
      </w:r>
    </w:p>
    <w:p>
      <w:pPr>
        <w:pStyle w:val="6"/>
        <w:keepNext/>
        <w:keepLines/>
        <w:pageBreakBefore w:val="0"/>
        <w:widowControl w:val="0"/>
        <w:kinsoku/>
        <w:wordWrap/>
        <w:overflowPunct/>
        <w:topLinePunct w:val="0"/>
        <w:autoSpaceDE/>
        <w:autoSpaceDN/>
        <w:bidi w:val="0"/>
        <w:adjustRightInd/>
        <w:snapToGrid/>
        <w:spacing w:before="60" w:after="6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7分包内容：需要将非主要内容分包的应征得采购人同意。</w:t>
      </w:r>
    </w:p>
    <w:p>
      <w:pPr>
        <w:pStyle w:val="6"/>
        <w:keepNext/>
        <w:keepLines/>
        <w:pageBreakBefore w:val="0"/>
        <w:widowControl w:val="0"/>
        <w:kinsoku/>
        <w:wordWrap/>
        <w:overflowPunct/>
        <w:topLinePunct w:val="0"/>
        <w:autoSpaceDE/>
        <w:autoSpaceDN/>
        <w:bidi w:val="0"/>
        <w:adjustRightInd/>
        <w:snapToGrid/>
        <w:spacing w:before="60" w:after="6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8做好交接工作：合同服务期限到期或服务结束后，中标人应配合做好相关交接工作。</w:t>
      </w:r>
    </w:p>
    <w:p>
      <w:pPr>
        <w:pStyle w:val="6"/>
        <w:keepNext/>
        <w:keepLines/>
        <w:pageBreakBefore w:val="0"/>
        <w:widowControl w:val="0"/>
        <w:kinsoku/>
        <w:wordWrap/>
        <w:overflowPunct/>
        <w:topLinePunct w:val="0"/>
        <w:autoSpaceDE/>
        <w:autoSpaceDN/>
        <w:bidi w:val="0"/>
        <w:adjustRightInd/>
        <w:snapToGrid/>
        <w:spacing w:before="60" w:after="6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9积极提供合理化建议：中标人在做好工作的同时，有责任向采购人提供合理化建议，以提高管理效率和管理质量。</w:t>
      </w:r>
    </w:p>
    <w:p>
      <w:pPr>
        <w:pStyle w:val="5"/>
        <w:keepNext/>
        <w:keepLines/>
        <w:pageBreakBefore w:val="0"/>
        <w:widowControl w:val="0"/>
        <w:numPr>
          <w:ilvl w:val="0"/>
          <w:numId w:val="1"/>
        </w:numPr>
        <w:kinsoku/>
        <w:wordWrap/>
        <w:overflowPunct/>
        <w:topLinePunct w:val="0"/>
        <w:autoSpaceDE/>
        <w:autoSpaceDN/>
        <w:bidi w:val="0"/>
        <w:adjustRightInd/>
        <w:snapToGrid/>
        <w:spacing w:before="60" w:after="60" w:line="560" w:lineRule="exact"/>
        <w:textAlignment w:val="auto"/>
        <w:outlineLvl w:val="1"/>
        <w:rPr>
          <w:rStyle w:val="13"/>
          <w:rFonts w:hint="eastAsia"/>
          <w:b/>
          <w:sz w:val="21"/>
          <w:szCs w:val="21"/>
          <w:lang w:val="en-US" w:eastAsia="zh-CN"/>
        </w:rPr>
      </w:pPr>
      <w:r>
        <w:rPr>
          <w:rStyle w:val="13"/>
          <w:rFonts w:hint="eastAsia"/>
          <w:b/>
          <w:sz w:val="21"/>
          <w:szCs w:val="21"/>
          <w:lang w:val="en-US" w:eastAsia="zh-CN"/>
        </w:rPr>
        <w:t>人员配置及具体服务要求</w:t>
      </w:r>
    </w:p>
    <w:p>
      <w:pPr>
        <w:pStyle w:val="6"/>
        <w:keepNext/>
        <w:keepLines/>
        <w:pageBreakBefore w:val="0"/>
        <w:widowControl w:val="0"/>
        <w:numPr>
          <w:ilvl w:val="0"/>
          <w:numId w:val="0"/>
        </w:numPr>
        <w:kinsoku/>
        <w:wordWrap w:val="0"/>
        <w:overflowPunct/>
        <w:topLinePunct/>
        <w:autoSpaceDE/>
        <w:autoSpaceDN/>
        <w:bidi w:val="0"/>
        <w:adjustRightInd/>
        <w:snapToGrid/>
        <w:spacing w:before="0" w:after="0" w:line="560" w:lineRule="exact"/>
        <w:textAlignment w:val="auto"/>
        <w:outlineLvl w:val="2"/>
        <w:rPr>
          <w:rFonts w:hint="eastAsia"/>
          <w:sz w:val="21"/>
          <w:szCs w:val="21"/>
        </w:rPr>
      </w:pPr>
      <w:r>
        <w:rPr>
          <w:rFonts w:hint="eastAsia"/>
          <w:sz w:val="21"/>
          <w:szCs w:val="21"/>
          <w:lang w:val="en-US" w:eastAsia="zh-CN"/>
        </w:rPr>
        <w:t>（一）</w:t>
      </w:r>
      <w:r>
        <w:rPr>
          <w:rFonts w:hint="eastAsia"/>
          <w:sz w:val="21"/>
          <w:szCs w:val="21"/>
        </w:rPr>
        <w:t>服务人员岗位设置</w:t>
      </w:r>
    </w:p>
    <w:tbl>
      <w:tblPr>
        <w:tblStyle w:val="10"/>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33"/>
        <w:gridCol w:w="740"/>
        <w:gridCol w:w="1003"/>
        <w:gridCol w:w="614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33"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74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岗位名称</w:t>
            </w:r>
          </w:p>
        </w:tc>
        <w:tc>
          <w:tcPr>
            <w:tcW w:w="1003" w:type="dxa"/>
            <w:tcBorders>
              <w:top w:val="single" w:color="000000" w:sz="8" w:space="0"/>
              <w:left w:val="single" w:color="000000" w:sz="8" w:space="0"/>
              <w:bottom w:val="single" w:color="000000" w:sz="8" w:space="0"/>
              <w:right w:val="single" w:color="000000" w:sz="8" w:space="0"/>
            </w:tcBorders>
            <w:vAlign w:val="center"/>
          </w:tcPr>
          <w:p>
            <w:pPr>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岗位人数（人）</w:t>
            </w:r>
          </w:p>
        </w:tc>
        <w:tc>
          <w:tcPr>
            <w:tcW w:w="614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人员要求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33" w:type="dxa"/>
            <w:tcBorders>
              <w:top w:val="nil"/>
              <w:left w:val="single" w:color="000000" w:sz="8" w:space="0"/>
              <w:bottom w:val="single" w:color="000000" w:sz="8" w:space="0"/>
              <w:right w:val="single" w:color="000000" w:sz="8" w:space="0"/>
            </w:tcBorders>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740" w:type="dxa"/>
            <w:tcBorders>
              <w:top w:val="nil"/>
              <w:left w:val="single" w:color="000000" w:sz="8" w:space="0"/>
              <w:bottom w:val="single" w:color="000000" w:sz="8" w:space="0"/>
              <w:right w:val="single" w:color="000000" w:sz="8" w:space="0"/>
            </w:tcBorders>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项目负责人</w:t>
            </w:r>
          </w:p>
        </w:tc>
        <w:tc>
          <w:tcPr>
            <w:tcW w:w="1003" w:type="dxa"/>
            <w:tcBorders>
              <w:top w:val="nil"/>
              <w:left w:val="single" w:color="000000" w:sz="8" w:space="0"/>
              <w:bottom w:val="single" w:color="000000" w:sz="8" w:space="0"/>
              <w:right w:val="single" w:color="000000" w:sz="8" w:space="0"/>
            </w:tcBorders>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6146" w:type="dxa"/>
            <w:tcBorders>
              <w:top w:val="nil"/>
              <w:left w:val="single" w:color="000000" w:sz="8" w:space="0"/>
              <w:bottom w:val="single" w:color="000000" w:sz="8" w:space="0"/>
              <w:right w:val="single" w:color="000000" w:sz="8" w:space="0"/>
            </w:tcBorders>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本科以上学历，具备政府相关职能部门颁发的国土相关专业职称。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33" w:type="dxa"/>
            <w:tcBorders>
              <w:top w:val="nil"/>
              <w:left w:val="single" w:color="000000" w:sz="8" w:space="0"/>
              <w:bottom w:val="single" w:color="000000" w:sz="8" w:space="0"/>
              <w:right w:val="single" w:color="000000" w:sz="8" w:space="0"/>
            </w:tcBorders>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740" w:type="dxa"/>
            <w:tcBorders>
              <w:top w:val="nil"/>
              <w:left w:val="single" w:color="000000" w:sz="8" w:space="0"/>
              <w:bottom w:val="single" w:color="000000" w:sz="8" w:space="0"/>
              <w:right w:val="single" w:color="000000" w:sz="8" w:space="0"/>
            </w:tcBorders>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项目团队人员</w:t>
            </w:r>
          </w:p>
        </w:tc>
        <w:tc>
          <w:tcPr>
            <w:tcW w:w="1003" w:type="dxa"/>
            <w:tcBorders>
              <w:top w:val="nil"/>
              <w:left w:val="single" w:color="000000" w:sz="8" w:space="0"/>
              <w:bottom w:val="single" w:color="000000" w:sz="8" w:space="0"/>
              <w:right w:val="single" w:color="000000" w:sz="8" w:space="0"/>
            </w:tcBorders>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16</w:t>
            </w:r>
          </w:p>
        </w:tc>
        <w:tc>
          <w:tcPr>
            <w:tcW w:w="6146" w:type="dxa"/>
            <w:tcBorders>
              <w:top w:val="nil"/>
              <w:left w:val="single" w:color="000000" w:sz="8" w:space="0"/>
              <w:bottom w:val="single" w:color="000000" w:sz="8" w:space="0"/>
              <w:right w:val="single" w:color="000000" w:sz="8" w:space="0"/>
            </w:tcBorders>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具备政府相关职能部门颁发的国土相关专业职称；项目团队成员中属于省级或以上不动产登记与估价专业人员协会或土地估价师协会的“公示地价组”专家库专家</w:t>
            </w:r>
            <w:r>
              <w:rPr>
                <w:rFonts w:hint="eastAsia" w:asciiTheme="minorEastAsia" w:hAnsiTheme="minorEastAsia" w:cstheme="minorEastAsia"/>
                <w:lang w:eastAsia="zh-CN"/>
              </w:rPr>
              <w:t>或</w:t>
            </w:r>
            <w:r>
              <w:rPr>
                <w:rFonts w:hint="eastAsia" w:asciiTheme="minorEastAsia" w:hAnsiTheme="minorEastAsia" w:eastAsiaTheme="minorEastAsia" w:cstheme="minorEastAsia"/>
              </w:rPr>
              <w:t>“</w:t>
            </w:r>
            <w:r>
              <w:rPr>
                <w:rFonts w:hint="eastAsia" w:asciiTheme="minorEastAsia" w:hAnsiTheme="minorEastAsia" w:cstheme="minorEastAsia"/>
                <w:lang w:eastAsia="zh-CN"/>
              </w:rPr>
              <w:t>土地</w:t>
            </w:r>
            <w:r>
              <w:rPr>
                <w:rFonts w:hint="eastAsia" w:asciiTheme="minorEastAsia" w:hAnsiTheme="minorEastAsia" w:eastAsiaTheme="minorEastAsia" w:cstheme="minorEastAsia"/>
              </w:rPr>
              <w:t>估价报告评议组”专家库专家。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73" w:type="dxa"/>
            <w:gridSpan w:val="2"/>
            <w:tcBorders>
              <w:top w:val="nil"/>
              <w:left w:val="single" w:color="000000" w:sz="8" w:space="0"/>
              <w:bottom w:val="single" w:color="000000" w:sz="8" w:space="0"/>
              <w:right w:val="single" w:color="000000" w:sz="8" w:space="0"/>
            </w:tcBorders>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1003" w:type="dxa"/>
            <w:tcBorders>
              <w:top w:val="nil"/>
              <w:left w:val="single" w:color="000000" w:sz="8" w:space="0"/>
              <w:bottom w:val="single" w:color="000000" w:sz="8" w:space="0"/>
              <w:right w:val="single" w:color="000000" w:sz="8" w:space="0"/>
            </w:tcBorders>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17</w:t>
            </w:r>
          </w:p>
        </w:tc>
        <w:tc>
          <w:tcPr>
            <w:tcW w:w="6146" w:type="dxa"/>
            <w:tcBorders>
              <w:top w:val="nil"/>
              <w:left w:val="single" w:color="000000" w:sz="8" w:space="0"/>
              <w:bottom w:val="single" w:color="000000" w:sz="8" w:space="0"/>
              <w:right w:val="single" w:color="000000" w:sz="8" w:space="0"/>
            </w:tcBorders>
            <w:vAlign w:val="center"/>
          </w:tcPr>
          <w:p>
            <w:pPr>
              <w:rPr>
                <w:rFonts w:hint="eastAsia" w:asciiTheme="minorEastAsia" w:hAnsiTheme="minorEastAsia" w:eastAsiaTheme="minorEastAsia" w:cstheme="minorEastAsia"/>
              </w:rPr>
            </w:pPr>
          </w:p>
        </w:tc>
      </w:tr>
    </w:tbl>
    <w:p>
      <w:pPr>
        <w:pStyle w:val="6"/>
        <w:keepNext/>
        <w:keepLines/>
        <w:pageBreakBefore w:val="0"/>
        <w:widowControl w:val="0"/>
        <w:kinsoku/>
        <w:wordWrap/>
        <w:overflowPunct/>
        <w:topLinePunct w:val="0"/>
        <w:autoSpaceDE/>
        <w:autoSpaceDN/>
        <w:bidi w:val="0"/>
        <w:adjustRightInd/>
        <w:snapToGrid/>
        <w:spacing w:before="60" w:after="60" w:line="560" w:lineRule="exact"/>
        <w:textAlignment w:val="auto"/>
        <w:rPr>
          <w:rFonts w:hint="eastAsia"/>
          <w:b/>
          <w:sz w:val="21"/>
          <w:szCs w:val="21"/>
          <w:lang w:val="en-US" w:eastAsia="zh-CN"/>
        </w:rPr>
      </w:pPr>
      <w:r>
        <w:rPr>
          <w:rFonts w:hint="eastAsia"/>
          <w:b/>
          <w:sz w:val="21"/>
          <w:szCs w:val="21"/>
          <w:lang w:val="en-US" w:eastAsia="zh-CN"/>
        </w:rPr>
        <w:t>（二）服务具体要求</w:t>
      </w:r>
    </w:p>
    <w:p>
      <w:pPr>
        <w:pStyle w:val="6"/>
        <w:keepNext/>
        <w:keepLines/>
        <w:pageBreakBefore w:val="0"/>
        <w:widowControl w:val="0"/>
        <w:kinsoku/>
        <w:wordWrap/>
        <w:overflowPunct/>
        <w:topLinePunct w:val="0"/>
        <w:autoSpaceDE/>
        <w:autoSpaceDN/>
        <w:bidi w:val="0"/>
        <w:adjustRightInd/>
        <w:snapToGrid/>
        <w:spacing w:before="60" w:after="6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1工作范围：中山市行政辖区内全域。</w:t>
      </w:r>
    </w:p>
    <w:p>
      <w:pPr>
        <w:pStyle w:val="6"/>
        <w:keepNext/>
        <w:keepLines/>
        <w:pageBreakBefore w:val="0"/>
        <w:widowControl w:val="0"/>
        <w:kinsoku/>
        <w:wordWrap/>
        <w:overflowPunct/>
        <w:topLinePunct w:val="0"/>
        <w:autoSpaceDE/>
        <w:autoSpaceDN/>
        <w:bidi w:val="0"/>
        <w:adjustRightInd/>
        <w:snapToGrid/>
        <w:spacing w:before="60" w:after="6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2估价期日：2025年1月1日。</w:t>
      </w:r>
    </w:p>
    <w:p>
      <w:pPr>
        <w:pStyle w:val="6"/>
        <w:keepNext/>
        <w:keepLines/>
        <w:pageBreakBefore w:val="0"/>
        <w:widowControl w:val="0"/>
        <w:kinsoku/>
        <w:wordWrap/>
        <w:overflowPunct/>
        <w:topLinePunct w:val="0"/>
        <w:autoSpaceDE/>
        <w:autoSpaceDN/>
        <w:bidi w:val="0"/>
        <w:adjustRightInd/>
        <w:snapToGrid/>
        <w:spacing w:before="60" w:after="6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3工作内容：</w:t>
      </w:r>
    </w:p>
    <w:p>
      <w:pPr>
        <w:pStyle w:val="6"/>
        <w:keepNext/>
        <w:keepLines/>
        <w:pageBreakBefore w:val="0"/>
        <w:widowControl w:val="0"/>
        <w:kinsoku/>
        <w:wordWrap/>
        <w:overflowPunct/>
        <w:topLinePunct w:val="0"/>
        <w:autoSpaceDE/>
        <w:autoSpaceDN/>
        <w:bidi w:val="0"/>
        <w:adjustRightInd/>
        <w:snapToGrid/>
        <w:spacing w:before="60" w:after="6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3.1完成中山市土地定级</w:t>
      </w:r>
    </w:p>
    <w:p>
      <w:pPr>
        <w:pStyle w:val="6"/>
        <w:keepNext/>
        <w:keepLines/>
        <w:pageBreakBefore w:val="0"/>
        <w:widowControl w:val="0"/>
        <w:kinsoku/>
        <w:wordWrap/>
        <w:overflowPunct/>
        <w:topLinePunct w:val="0"/>
        <w:autoSpaceDE/>
        <w:autoSpaceDN/>
        <w:bidi w:val="0"/>
        <w:adjustRightInd/>
        <w:snapToGrid/>
        <w:spacing w:before="60" w:after="6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按照《城镇土地分等定级规程》的要求，采用计算机技术手段，对影响城镇用地质量的各种经济、社会、自然因素进行分析，按分类评价的差异划分土地级别，全面完成中山市商服用地定级、住宅用地定级、工业用地定级、公共服务项目用地定级工作。</w:t>
      </w:r>
    </w:p>
    <w:p>
      <w:pPr>
        <w:pStyle w:val="6"/>
        <w:keepNext/>
        <w:keepLines/>
        <w:pageBreakBefore w:val="0"/>
        <w:widowControl w:val="0"/>
        <w:kinsoku/>
        <w:wordWrap/>
        <w:overflowPunct/>
        <w:topLinePunct w:val="0"/>
        <w:autoSpaceDE/>
        <w:autoSpaceDN/>
        <w:bidi w:val="0"/>
        <w:adjustRightInd/>
        <w:snapToGrid/>
        <w:spacing w:before="60" w:after="6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3.2完成中山市基准地价区片</w:t>
      </w:r>
    </w:p>
    <w:p>
      <w:pPr>
        <w:pStyle w:val="6"/>
        <w:keepNext/>
        <w:keepLines/>
        <w:pageBreakBefore w:val="0"/>
        <w:widowControl w:val="0"/>
        <w:kinsoku/>
        <w:wordWrap/>
        <w:overflowPunct/>
        <w:topLinePunct w:val="0"/>
        <w:autoSpaceDE/>
        <w:autoSpaceDN/>
        <w:bidi w:val="0"/>
        <w:adjustRightInd/>
        <w:snapToGrid/>
        <w:spacing w:before="60" w:after="6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在土地定级的基础上，根据中山市土地市场、土地条件、利用状况和房价水平等因素，进一步对各用途、各级别的土地进行区片划分。</w:t>
      </w:r>
    </w:p>
    <w:p>
      <w:pPr>
        <w:pStyle w:val="6"/>
        <w:keepNext/>
        <w:keepLines/>
        <w:pageBreakBefore w:val="0"/>
        <w:widowControl w:val="0"/>
        <w:kinsoku/>
        <w:wordWrap/>
        <w:overflowPunct/>
        <w:topLinePunct w:val="0"/>
        <w:autoSpaceDE/>
        <w:autoSpaceDN/>
        <w:bidi w:val="0"/>
        <w:adjustRightInd/>
        <w:snapToGrid/>
        <w:spacing w:before="60" w:after="6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3.3完成中山市基准地价评估</w:t>
      </w:r>
    </w:p>
    <w:p>
      <w:pPr>
        <w:pStyle w:val="6"/>
        <w:keepNext/>
        <w:keepLines/>
        <w:pageBreakBefore w:val="0"/>
        <w:widowControl w:val="0"/>
        <w:kinsoku/>
        <w:wordWrap/>
        <w:overflowPunct/>
        <w:topLinePunct w:val="0"/>
        <w:autoSpaceDE/>
        <w:autoSpaceDN/>
        <w:bidi w:val="0"/>
        <w:adjustRightInd/>
        <w:snapToGrid/>
        <w:spacing w:before="60" w:after="6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根据外业调查资料，在土地定级的基础上，按照《城镇土地估价规程》的要求，完成商服、住宅、工业和公共服务项目用地级别基准地价和区片基准地价更新，以及针对商服繁华路段的商业路线价更新工作。</w:t>
      </w:r>
    </w:p>
    <w:p>
      <w:pPr>
        <w:pStyle w:val="6"/>
        <w:keepNext/>
        <w:keepLines/>
        <w:pageBreakBefore w:val="0"/>
        <w:widowControl w:val="0"/>
        <w:kinsoku/>
        <w:wordWrap/>
        <w:overflowPunct/>
        <w:topLinePunct w:val="0"/>
        <w:autoSpaceDE/>
        <w:autoSpaceDN/>
        <w:bidi w:val="0"/>
        <w:adjustRightInd/>
        <w:snapToGrid/>
        <w:spacing w:before="60" w:after="6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3.4编制基准地价修正体系</w:t>
      </w:r>
    </w:p>
    <w:p>
      <w:pPr>
        <w:pStyle w:val="6"/>
        <w:keepNext/>
        <w:keepLines/>
        <w:pageBreakBefore w:val="0"/>
        <w:widowControl w:val="0"/>
        <w:kinsoku/>
        <w:wordWrap/>
        <w:overflowPunct/>
        <w:topLinePunct w:val="0"/>
        <w:autoSpaceDE/>
        <w:autoSpaceDN/>
        <w:bidi w:val="0"/>
        <w:adjustRightInd/>
        <w:snapToGrid/>
        <w:spacing w:before="60" w:after="6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在定级估价的基础上，建立中山市商服、住宅、工业、公共服务项目用地基准地价和商业路线价修正体系，同时应结合中山市地下空间管理的相关政策，提供地下空间相应用途的修正体系。</w:t>
      </w:r>
    </w:p>
    <w:p>
      <w:pPr>
        <w:pStyle w:val="6"/>
        <w:keepNext/>
        <w:keepLines/>
        <w:pageBreakBefore w:val="0"/>
        <w:widowControl w:val="0"/>
        <w:kinsoku/>
        <w:wordWrap/>
        <w:overflowPunct/>
        <w:topLinePunct w:val="0"/>
        <w:autoSpaceDE/>
        <w:autoSpaceDN/>
        <w:bidi w:val="0"/>
        <w:adjustRightInd/>
        <w:snapToGrid/>
        <w:spacing w:before="60" w:after="6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3.5建立用地类型修正系数</w:t>
      </w:r>
    </w:p>
    <w:p>
      <w:pPr>
        <w:pStyle w:val="6"/>
        <w:keepNext/>
        <w:keepLines/>
        <w:pageBreakBefore w:val="0"/>
        <w:widowControl w:val="0"/>
        <w:kinsoku/>
        <w:wordWrap/>
        <w:overflowPunct/>
        <w:topLinePunct w:val="0"/>
        <w:autoSpaceDE/>
        <w:autoSpaceDN/>
        <w:bidi w:val="0"/>
        <w:adjustRightInd/>
        <w:snapToGrid/>
        <w:spacing w:before="60" w:after="6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根据《土地利用现状分类》（GB/T 21010-2017），结合中山市的实际情况，就商服、住宅、工业、公共服务项目用地的二级分类建立用地类型修正系数，适应不同用地类型土地评估的需要。</w:t>
      </w:r>
    </w:p>
    <w:p>
      <w:pPr>
        <w:pStyle w:val="6"/>
        <w:keepNext/>
        <w:keepLines/>
        <w:pageBreakBefore w:val="0"/>
        <w:widowControl w:val="0"/>
        <w:kinsoku/>
        <w:wordWrap/>
        <w:overflowPunct/>
        <w:topLinePunct w:val="0"/>
        <w:autoSpaceDE/>
        <w:autoSpaceDN/>
        <w:bidi w:val="0"/>
        <w:adjustRightInd/>
        <w:snapToGrid/>
        <w:spacing w:before="60" w:after="6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4项目成果要求：</w:t>
      </w:r>
    </w:p>
    <w:p>
      <w:pPr>
        <w:pStyle w:val="6"/>
        <w:keepNext/>
        <w:keepLines/>
        <w:pageBreakBefore w:val="0"/>
        <w:widowControl w:val="0"/>
        <w:kinsoku/>
        <w:wordWrap/>
        <w:overflowPunct/>
        <w:topLinePunct w:val="0"/>
        <w:autoSpaceDE/>
        <w:autoSpaceDN/>
        <w:bidi w:val="0"/>
        <w:adjustRightInd/>
        <w:snapToGrid/>
        <w:spacing w:before="60" w:after="6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4.1文本成果</w:t>
      </w:r>
    </w:p>
    <w:p>
      <w:pPr>
        <w:pStyle w:val="6"/>
        <w:keepNext/>
        <w:keepLines/>
        <w:pageBreakBefore w:val="0"/>
        <w:widowControl w:val="0"/>
        <w:kinsoku/>
        <w:wordWrap/>
        <w:overflowPunct/>
        <w:topLinePunct w:val="0"/>
        <w:autoSpaceDE/>
        <w:autoSpaceDN/>
        <w:bidi w:val="0"/>
        <w:adjustRightInd/>
        <w:snapToGrid/>
        <w:spacing w:before="60" w:after="6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（1）工作报告；</w:t>
      </w:r>
    </w:p>
    <w:p>
      <w:pPr>
        <w:pStyle w:val="6"/>
        <w:keepNext/>
        <w:keepLines/>
        <w:pageBreakBefore w:val="0"/>
        <w:widowControl w:val="0"/>
        <w:kinsoku/>
        <w:wordWrap/>
        <w:overflowPunct/>
        <w:topLinePunct w:val="0"/>
        <w:autoSpaceDE/>
        <w:autoSpaceDN/>
        <w:bidi w:val="0"/>
        <w:adjustRightInd/>
        <w:snapToGrid/>
        <w:spacing w:before="60" w:after="6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（2）技术报告；</w:t>
      </w:r>
    </w:p>
    <w:p>
      <w:pPr>
        <w:pStyle w:val="6"/>
        <w:keepNext/>
        <w:keepLines/>
        <w:pageBreakBefore w:val="0"/>
        <w:widowControl w:val="0"/>
        <w:kinsoku/>
        <w:wordWrap/>
        <w:overflowPunct/>
        <w:topLinePunct w:val="0"/>
        <w:autoSpaceDE/>
        <w:autoSpaceDN/>
        <w:bidi w:val="0"/>
        <w:adjustRightInd/>
        <w:snapToGrid/>
        <w:spacing w:before="60" w:after="6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（3）更新成果汇编及应用指南。</w:t>
      </w:r>
    </w:p>
    <w:p>
      <w:pPr>
        <w:pStyle w:val="6"/>
        <w:keepNext/>
        <w:keepLines/>
        <w:pageBreakBefore w:val="0"/>
        <w:widowControl w:val="0"/>
        <w:kinsoku/>
        <w:wordWrap/>
        <w:overflowPunct/>
        <w:topLinePunct w:val="0"/>
        <w:autoSpaceDE/>
        <w:autoSpaceDN/>
        <w:bidi w:val="0"/>
        <w:adjustRightInd/>
        <w:snapToGrid/>
        <w:spacing w:before="60" w:after="6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4.2图件成果（含全市图、分镇街图）</w:t>
      </w:r>
    </w:p>
    <w:p>
      <w:pPr>
        <w:pStyle w:val="6"/>
        <w:keepNext/>
        <w:keepLines/>
        <w:pageBreakBefore w:val="0"/>
        <w:widowControl w:val="0"/>
        <w:kinsoku/>
        <w:wordWrap/>
        <w:overflowPunct/>
        <w:topLinePunct w:val="0"/>
        <w:autoSpaceDE/>
        <w:autoSpaceDN/>
        <w:bidi w:val="0"/>
        <w:adjustRightInd/>
        <w:snapToGrid/>
        <w:spacing w:before="60" w:after="6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包括各用途土地级别和基准地价图、各用途土地价格区片图等。</w:t>
      </w:r>
    </w:p>
    <w:p>
      <w:pPr>
        <w:pStyle w:val="6"/>
        <w:keepNext/>
        <w:keepLines/>
        <w:pageBreakBefore w:val="0"/>
        <w:widowControl w:val="0"/>
        <w:kinsoku/>
        <w:wordWrap/>
        <w:overflowPunct/>
        <w:topLinePunct w:val="0"/>
        <w:autoSpaceDE/>
        <w:autoSpaceDN/>
        <w:bidi w:val="0"/>
        <w:adjustRightInd/>
        <w:snapToGrid/>
        <w:spacing w:before="60" w:after="60" w:line="46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4.3数据库成果</w:t>
      </w:r>
    </w:p>
    <w:p>
      <w:pPr>
        <w:pStyle w:val="6"/>
        <w:keepNext/>
        <w:keepLines/>
        <w:pageBreakBefore w:val="0"/>
        <w:widowControl w:val="0"/>
        <w:kinsoku/>
        <w:wordWrap/>
        <w:overflowPunct/>
        <w:topLinePunct w:val="0"/>
        <w:autoSpaceDE/>
        <w:autoSpaceDN/>
        <w:bidi w:val="0"/>
        <w:adjustRightInd/>
        <w:snapToGrid/>
        <w:spacing w:before="60" w:after="60" w:line="460" w:lineRule="exact"/>
        <w:ind w:firstLine="420" w:firstLineChars="200"/>
        <w:textAlignment w:val="auto"/>
        <w:rPr>
          <w:rFonts w:hint="eastAsia" w:ascii="宋体" w:hAnsi="宋体" w:eastAsia="宋体" w:cs="宋体"/>
          <w:i w:val="0"/>
          <w:iCs w:val="0"/>
          <w:caps w:val="0"/>
          <w:color w:val="000000"/>
          <w:spacing w:val="0"/>
          <w:kern w:val="0"/>
          <w:sz w:val="21"/>
          <w:szCs w:val="21"/>
          <w:shd w:val="clear" w:color="auto" w:fill="FFFFFF"/>
          <w:vertAlign w:val="baseline"/>
          <w:lang w:val="en-US" w:eastAsia="zh-CN" w:bidi="ar-SA"/>
        </w:rPr>
      </w:pPr>
      <w:r>
        <w:rPr>
          <w:rFonts w:hint="eastAsia" w:ascii="宋体" w:hAnsi="宋体" w:eastAsia="宋体" w:cs="宋体"/>
          <w:b w:val="0"/>
          <w:bCs/>
          <w:sz w:val="21"/>
          <w:szCs w:val="21"/>
          <w:lang w:val="en-US" w:eastAsia="zh-CN"/>
        </w:rPr>
        <w:t>上述成果需分别提交纸质和电子版文件以及相应基准地价成果数据库，中标人提供的数据库成果除须符合备案以及需向上级主管部门提交的汇交数据成果要求外，还须符合中山市地价管理系统（内网端、外网端、移动端）数据库标准的要求。</w:t>
      </w:r>
    </w:p>
    <w:p>
      <w:pPr>
        <w:pStyle w:val="5"/>
        <w:keepNext/>
        <w:keepLines/>
        <w:pageBreakBefore w:val="0"/>
        <w:widowControl w:val="0"/>
        <w:kinsoku/>
        <w:wordWrap/>
        <w:overflowPunct/>
        <w:topLinePunct w:val="0"/>
        <w:autoSpaceDE/>
        <w:autoSpaceDN/>
        <w:bidi w:val="0"/>
        <w:adjustRightInd/>
        <w:snapToGrid/>
        <w:spacing w:before="100" w:after="100" w:line="560" w:lineRule="exact"/>
        <w:textAlignment w:val="auto"/>
        <w:rPr>
          <w:rFonts w:hint="eastAsia"/>
          <w:b/>
          <w:sz w:val="21"/>
          <w:szCs w:val="21"/>
          <w:lang w:val="en-US" w:eastAsia="zh-CN"/>
        </w:rPr>
      </w:pPr>
      <w:r>
        <w:rPr>
          <w:rFonts w:hint="eastAsia"/>
          <w:b/>
          <w:sz w:val="21"/>
          <w:szCs w:val="21"/>
          <w:lang w:val="en-US" w:eastAsia="zh-CN"/>
        </w:rPr>
        <w:t>四、工作依据</w:t>
      </w:r>
    </w:p>
    <w:p>
      <w:pPr>
        <w:pStyle w:val="6"/>
        <w:keepNext/>
        <w:keepLines/>
        <w:pageBreakBefore w:val="0"/>
        <w:widowControl w:val="0"/>
        <w:kinsoku/>
        <w:wordWrap/>
        <w:overflowPunct/>
        <w:topLinePunct w:val="0"/>
        <w:autoSpaceDE/>
        <w:autoSpaceDN/>
        <w:bidi w:val="0"/>
        <w:adjustRightInd/>
        <w:snapToGrid/>
        <w:spacing w:before="60" w:after="60" w:line="560" w:lineRule="exact"/>
        <w:textAlignment w:val="auto"/>
        <w:rPr>
          <w:rFonts w:hint="eastAsia"/>
          <w:b/>
          <w:sz w:val="21"/>
          <w:szCs w:val="21"/>
          <w:lang w:val="en-US" w:eastAsia="zh-CN"/>
        </w:rPr>
      </w:pPr>
      <w:r>
        <w:rPr>
          <w:rFonts w:hint="eastAsia"/>
          <w:b/>
          <w:sz w:val="21"/>
          <w:szCs w:val="21"/>
          <w:lang w:val="en-US" w:eastAsia="zh-CN"/>
        </w:rPr>
        <w:t>（一）法律法规依据</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1《中华人民共和国民法典》（2020年5月28日第十三届全国人民代表大会第三次会议通过，自2021年1月1日起施行）；</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2《中华人民共和国土地管理法》（2019年8月26日第十三届全国人民代表大会常务委员会第十二次会议修订，自2020年1月1日起施行）；</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3《中华人民共和国土地管理法实施条例》（2021年4月21日国务院第132次常务会议修订通过，自2021年9月1日起施行）；</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4《中华人民共和国资产评估法》（2016年7月2日第十二届全国人民代表大会常务委员会第二十一次会议通过，自2016年12月1日起施行）；</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5《中华人民共和国城市房地产管理法》（中华人民共和国主席令第32号，自2020年1月1日起施行）；</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6《中华人民共和国城乡规划法》（中华人民共和国主席令第二十九号，实施日期2019年4月23日）；</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7《广东省土地管理条例》（广东省第十三届人民代表大会常务委员会公告第113号，自2022年8月1日起施行）</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8《中华人民共和国城镇国有土地使用权出让和转让暂行条例（2020修订）》；</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9《国土资源部办公厅关于加强公示地价体系建设和管理有关问题的通知》（国土资厅发〔2017〕27号）；</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10《广东省国土资源厅关于进一步严格规范基准地价管理的通知》（粤国土资利用发〔2018〕8号）；</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11《广东省自然资源厅转发自然资源部办公厅关于做好2022年度自然资源评价评估有关工作的通知》（粤自然资利用〔2022〕1274号）；</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12《自然资源部办公厅关于加强城镇建设用地基准地价管理的通知》（自然资办发〔2024〕45号）；</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r>
        <w:rPr>
          <w:rFonts w:hint="eastAsia" w:ascii="宋体" w:hAnsi="宋体" w:eastAsia="宋体" w:cs="宋体"/>
          <w:lang w:val="en-US" w:eastAsia="zh-CN"/>
        </w:rPr>
        <w:t>13国家、省市其他有关的法规、政策、文件。</w:t>
      </w:r>
    </w:p>
    <w:p>
      <w:pPr>
        <w:pStyle w:val="6"/>
        <w:keepNext/>
        <w:keepLines/>
        <w:pageBreakBefore w:val="0"/>
        <w:widowControl w:val="0"/>
        <w:kinsoku/>
        <w:wordWrap/>
        <w:overflowPunct/>
        <w:topLinePunct w:val="0"/>
        <w:autoSpaceDE/>
        <w:autoSpaceDN/>
        <w:bidi w:val="0"/>
        <w:adjustRightInd/>
        <w:snapToGrid/>
        <w:spacing w:before="60" w:after="60" w:line="560" w:lineRule="exact"/>
        <w:textAlignment w:val="auto"/>
        <w:rPr>
          <w:rFonts w:hint="eastAsia"/>
          <w:b/>
          <w:sz w:val="21"/>
          <w:szCs w:val="21"/>
          <w:lang w:val="en-US" w:eastAsia="zh-CN"/>
        </w:rPr>
      </w:pPr>
      <w:r>
        <w:rPr>
          <w:rFonts w:hint="eastAsia"/>
          <w:b/>
          <w:sz w:val="21"/>
          <w:szCs w:val="21"/>
          <w:lang w:val="en-US" w:eastAsia="zh-CN"/>
        </w:rPr>
        <w:t>（二）技术依据</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1《自然资源分等定级通则》（TD/T 1060-2021）；</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2《自然资源价格评估通则》（TD/T 1061-2021）；</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3《城镇土地估价规程》（GB/T 18508-2014）；</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4《城镇土地分等定级规程》（GB/T 18507-2014）；</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5《城市地价动态监测技术规范》（TD/T 1009-2007）；</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6《国土空间调查、规划、用途管制用地用海分类指南（试行）》（自然资办发〔2020〕51号）；</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7《土地利用现状分类》（GB/T 21010-2017）；</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cs="Times New Roman"/>
          <w:b/>
          <w:bCs w:val="0"/>
          <w:color w:val="auto"/>
          <w:szCs w:val="20"/>
          <w:lang w:val="zh-CN"/>
        </w:rPr>
      </w:pPr>
      <w:r>
        <w:rPr>
          <w:rFonts w:hint="eastAsia" w:ascii="宋体" w:hAnsi="宋体" w:eastAsia="宋体" w:cs="宋体"/>
          <w:lang w:val="en-US" w:eastAsia="zh-CN"/>
        </w:rPr>
        <w:t>8其他相关行业标准和技术规范。</w:t>
      </w:r>
    </w:p>
    <w:p>
      <w:pPr>
        <w:pStyle w:val="5"/>
        <w:keepNext/>
        <w:keepLines/>
        <w:pageBreakBefore w:val="0"/>
        <w:widowControl w:val="0"/>
        <w:numPr>
          <w:ilvl w:val="0"/>
          <w:numId w:val="0"/>
        </w:numPr>
        <w:kinsoku/>
        <w:wordWrap/>
        <w:overflowPunct/>
        <w:topLinePunct w:val="0"/>
        <w:autoSpaceDE/>
        <w:autoSpaceDN/>
        <w:bidi w:val="0"/>
        <w:adjustRightInd/>
        <w:snapToGrid/>
        <w:spacing w:before="100" w:after="100" w:line="560" w:lineRule="exact"/>
        <w:ind w:leftChars="0"/>
        <w:textAlignment w:val="auto"/>
        <w:rPr>
          <w:rFonts w:hint="eastAsia"/>
          <w:b/>
          <w:sz w:val="21"/>
          <w:szCs w:val="21"/>
          <w:lang w:val="zh-CN" w:eastAsia="zh-CN"/>
        </w:rPr>
      </w:pPr>
      <w:r>
        <w:rPr>
          <w:rFonts w:hint="eastAsia"/>
          <w:b/>
          <w:sz w:val="21"/>
          <w:szCs w:val="21"/>
          <w:lang w:val="zh-CN" w:eastAsia="zh-CN"/>
        </w:rPr>
        <w:t>五、其他要求</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1项目工期需根据国家、省出台的政策或文件的要求按时提交项目成果，实施过程中，若相关要求发生变化，则项目工期要求应以最新文件为准。</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2本项目涉及的征求意见、听证、评审、验收、备案等工作，中标人应按采购人要求提供相应阶段的成套成果材料；本项目地价成果经验收并公布实施后，中标人应向采购人提供编制成册的档案材料。</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3本项目成果的所有权归采购人所有。</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本项目成果须由中标人负责维护至本项目全部成果下次更新通过验收前，期间发现地价成果及其修正体系等有缺陷的，中标人应接到采购人通知之日起两个自然日内采取相应的补救措施予以跟进，相关费用包含在本项目中标价中。</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5本项目报价包含完成全过程所有服务内容的费用（包括各种税费、必须的辅助材料费、评审等项目实施过程中的一切费用）及质量保证维护期内所需一切费用。</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6中标后在中山市城区（城区指东区、西区、南区、石岐区）设置至少一处服务点。</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7本项目工作过程、工作方法、采用的技术路线以及项目成果等必须符合和满足国家、省规定；工作方法与技术、评价指标的选取、参数的确定以及计算模型的建立等必须符合中山市实际；项目要求所要完成的结果，是根据量化的评价指标和数学模型计算得出，不只是单纯的定性评价。</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r>
        <w:rPr>
          <w:rFonts w:hint="eastAsia" w:ascii="宋体" w:hAnsi="宋体" w:eastAsia="宋体" w:cs="宋体"/>
          <w:lang w:val="en-US" w:eastAsia="zh-CN"/>
        </w:rPr>
        <w:t>8本项目涉及地价成果管理及应用系统更新维护：为中山市地价管理系统（内网端、外网端、移动端）提供符合相关要求的地价数据。如供应商具备与地价相关的计算机软件制作工作经验则能较好完成项目所要求的地价成果管理及应用系统更新维护工作。</w:t>
      </w:r>
    </w:p>
    <w:p>
      <w:pPr>
        <w:pStyle w:val="5"/>
        <w:keepNext/>
        <w:keepLines/>
        <w:pageBreakBefore w:val="0"/>
        <w:widowControl w:val="0"/>
        <w:numPr>
          <w:ilvl w:val="0"/>
          <w:numId w:val="2"/>
        </w:numPr>
        <w:kinsoku/>
        <w:wordWrap/>
        <w:overflowPunct/>
        <w:topLinePunct w:val="0"/>
        <w:autoSpaceDE/>
        <w:autoSpaceDN/>
        <w:bidi w:val="0"/>
        <w:adjustRightInd/>
        <w:snapToGrid/>
        <w:spacing w:before="100" w:after="100" w:line="560" w:lineRule="exact"/>
        <w:textAlignment w:val="auto"/>
        <w:rPr>
          <w:rFonts w:hint="eastAsia"/>
          <w:b/>
          <w:sz w:val="21"/>
          <w:szCs w:val="21"/>
          <w:lang w:val="en-US" w:eastAsia="zh-CN"/>
        </w:rPr>
      </w:pPr>
      <w:r>
        <w:rPr>
          <w:rFonts w:hint="eastAsia"/>
          <w:b/>
          <w:sz w:val="21"/>
          <w:szCs w:val="21"/>
          <w:lang w:val="en-US" w:eastAsia="zh-CN"/>
        </w:rPr>
        <w:t>付款方式</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1一期：合同签订后30日内，采购人向中标人支付该项目合同总价款的50%。</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2二期：项目公布实施后30日内，采购人向中标人支付该项目合同总价款的50%。</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lang w:val="en-US" w:eastAsia="zh-CN"/>
        </w:rPr>
        <w:t>3具体结算时间由采购人根据财政资金安排情况决定，如由于当年财政资金不足全额支付当年费用的，</w:t>
      </w:r>
      <w:r>
        <w:rPr>
          <w:rFonts w:hint="eastAsia" w:ascii="宋体" w:hAnsi="宋体" w:eastAsia="宋体" w:cs="宋体"/>
          <w:highlight w:val="none"/>
          <w:lang w:val="en-US" w:eastAsia="zh-CN"/>
        </w:rPr>
        <w:t>不足部分将由以后年度的财政资金解决，中标人需无条件同意采购人的费用结算方式及时间安排。</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注：上述费用支付流程所指的结算资料包括：（1）合同；（2）中标人开具的正式发票；（3）项目报价书；（4）供应商承诺书；（5）采购人认为有必要提供的其他资料。</w:t>
      </w:r>
    </w:p>
    <w:p>
      <w:pPr>
        <w:numPr>
          <w:ilvl w:val="0"/>
          <w:numId w:val="0"/>
        </w:numPr>
        <w:rPr>
          <w:rFonts w:hint="eastAsia"/>
          <w:highlight w:val="none"/>
          <w:lang w:val="en-US" w:eastAsia="zh-CN"/>
        </w:rPr>
      </w:pPr>
    </w:p>
    <w:p>
      <w:pPr>
        <w:pStyle w:val="5"/>
        <w:keepNext/>
        <w:keepLines/>
        <w:pageBreakBefore w:val="0"/>
        <w:widowControl w:val="0"/>
        <w:kinsoku/>
        <w:wordWrap/>
        <w:overflowPunct/>
        <w:topLinePunct w:val="0"/>
        <w:autoSpaceDE/>
        <w:autoSpaceDN/>
        <w:bidi w:val="0"/>
        <w:adjustRightInd/>
        <w:snapToGrid/>
        <w:spacing w:before="100" w:after="100" w:line="560" w:lineRule="exact"/>
        <w:textAlignment w:val="auto"/>
        <w:rPr>
          <w:rFonts w:hint="eastAsia"/>
          <w:b/>
          <w:sz w:val="21"/>
          <w:szCs w:val="21"/>
          <w:highlight w:val="none"/>
          <w:lang w:val="en-US" w:eastAsia="zh-CN"/>
        </w:rPr>
      </w:pPr>
      <w:r>
        <w:rPr>
          <w:rFonts w:hint="eastAsia"/>
          <w:b/>
          <w:sz w:val="21"/>
          <w:szCs w:val="21"/>
          <w:highlight w:val="none"/>
          <w:lang w:val="en-US" w:eastAsia="zh-CN"/>
        </w:rPr>
        <w:t>七、考核办法</w:t>
      </w:r>
    </w:p>
    <w:p>
      <w:pPr>
        <w:pStyle w:val="3"/>
        <w:keepNext w:val="0"/>
        <w:keepLines w:val="0"/>
        <w:pageBreakBefore w:val="0"/>
        <w:kinsoku/>
        <w:wordWrap/>
        <w:overflowPunct/>
        <w:topLinePunct w:val="0"/>
        <w:autoSpaceDE/>
        <w:autoSpaceDN/>
        <w:bidi w:val="0"/>
        <w:spacing w:line="500" w:lineRule="exact"/>
        <w:ind w:left="0" w:leftChars="0" w:firstLine="0" w:firstLineChars="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本项目采用综合评审法确定中选单位，评审标准如下表：</w:t>
      </w:r>
    </w:p>
    <w:p>
      <w:pPr>
        <w:jc w:val="center"/>
        <w:rPr>
          <w:rFonts w:hint="eastAsia" w:ascii="Calibri" w:hAnsi="Calibri" w:eastAsia="宋体" w:cs="Times New Roman"/>
          <w:b/>
          <w:bCs/>
          <w:sz w:val="36"/>
          <w:szCs w:val="44"/>
          <w:lang w:eastAsia="zh-CN"/>
        </w:rPr>
      </w:pPr>
    </w:p>
    <w:p>
      <w:pPr>
        <w:jc w:val="center"/>
        <w:rPr>
          <w:rFonts w:hint="eastAsia" w:ascii="Calibri" w:hAnsi="Calibri" w:eastAsia="宋体" w:cs="Times New Roman"/>
          <w:b/>
          <w:bCs/>
          <w:sz w:val="36"/>
          <w:szCs w:val="44"/>
          <w:lang w:eastAsia="zh-CN"/>
        </w:rPr>
      </w:pPr>
    </w:p>
    <w:p>
      <w:pPr>
        <w:jc w:val="center"/>
        <w:rPr>
          <w:rFonts w:hint="eastAsia" w:ascii="Calibri" w:hAnsi="Calibri" w:eastAsia="宋体" w:cs="Times New Roman"/>
          <w:b/>
          <w:bCs/>
          <w:sz w:val="36"/>
          <w:szCs w:val="44"/>
          <w:lang w:eastAsia="zh-CN"/>
        </w:rPr>
      </w:pPr>
    </w:p>
    <w:p>
      <w:pPr>
        <w:jc w:val="center"/>
        <w:rPr>
          <w:rFonts w:hint="eastAsia" w:ascii="Calibri" w:hAnsi="Calibri" w:eastAsia="宋体" w:cs="Times New Roman"/>
          <w:b/>
          <w:bCs/>
          <w:sz w:val="36"/>
          <w:szCs w:val="44"/>
          <w:lang w:eastAsia="zh-CN"/>
        </w:rPr>
      </w:pPr>
    </w:p>
    <w:p>
      <w:pPr>
        <w:jc w:val="center"/>
        <w:rPr>
          <w:rFonts w:hint="eastAsia" w:ascii="Calibri" w:hAnsi="Calibri" w:eastAsia="宋体" w:cs="Times New Roman"/>
          <w:b/>
          <w:bCs/>
          <w:sz w:val="36"/>
          <w:szCs w:val="44"/>
          <w:lang w:eastAsia="zh-CN"/>
        </w:rPr>
      </w:pPr>
    </w:p>
    <w:p>
      <w:pPr>
        <w:jc w:val="center"/>
        <w:rPr>
          <w:rFonts w:hint="eastAsia" w:ascii="Calibri" w:hAnsi="Calibri" w:eastAsia="宋体" w:cs="Times New Roman"/>
          <w:b/>
          <w:bCs/>
          <w:sz w:val="36"/>
          <w:szCs w:val="44"/>
          <w:lang w:eastAsia="zh-CN"/>
        </w:rPr>
      </w:pPr>
      <w:r>
        <w:rPr>
          <w:rFonts w:hint="eastAsia" w:ascii="Calibri" w:hAnsi="Calibri" w:eastAsia="宋体" w:cs="Times New Roman"/>
          <w:b/>
          <w:bCs/>
          <w:sz w:val="36"/>
          <w:szCs w:val="44"/>
          <w:lang w:eastAsia="zh-CN"/>
        </w:rPr>
        <w:t>评审标准</w:t>
      </w:r>
    </w:p>
    <w:p>
      <w:pPr>
        <w:rPr>
          <w:rFonts w:hint="eastAsia" w:ascii="Calibri" w:hAnsi="Calibri" w:eastAsia="宋体" w:cs="Times New Roman"/>
          <w:lang w:eastAsia="zh-CN"/>
        </w:rPr>
      </w:pPr>
    </w:p>
    <w:p>
      <w:pPr>
        <w:rPr>
          <w:rFonts w:hint="eastAsia" w:ascii="Calibri" w:hAnsi="Calibri" w:eastAsia="宋体" w:cs="Times New Roman"/>
          <w:lang w:val="en-US" w:eastAsia="zh-CN"/>
        </w:rPr>
      </w:pPr>
      <w:r>
        <w:rPr>
          <w:rFonts w:hint="eastAsia" w:ascii="Calibri" w:hAnsi="Calibri" w:eastAsia="宋体" w:cs="Times New Roman"/>
          <w:lang w:eastAsia="zh-CN"/>
        </w:rPr>
        <w:t>投标人：</w:t>
      </w:r>
      <w:r>
        <w:rPr>
          <w:rFonts w:hint="eastAsia" w:ascii="Calibri" w:hAnsi="Calibri" w:eastAsia="宋体" w:cs="Times New Roman"/>
          <w:u w:val="single"/>
          <w:lang w:val="en-US" w:eastAsia="zh-CN"/>
        </w:rPr>
        <w:t xml:space="preserve">                              </w:t>
      </w:r>
      <w:r>
        <w:rPr>
          <w:rFonts w:hint="eastAsia" w:ascii="Calibri" w:hAnsi="Calibri" w:eastAsia="宋体" w:cs="Times New Roman"/>
          <w:lang w:val="en-US" w:eastAsia="zh-CN"/>
        </w:rPr>
        <w:t xml:space="preserve"> </w:t>
      </w:r>
    </w:p>
    <w:p>
      <w:pPr>
        <w:pStyle w:val="2"/>
        <w:rPr>
          <w:rFonts w:hint="default"/>
          <w:lang w:val="en-US" w:eastAsia="zh-CN"/>
        </w:rPr>
      </w:pPr>
    </w:p>
    <w:p>
      <w:pPr>
        <w:rPr>
          <w:rFonts w:ascii="Calibri" w:hAnsi="Calibri" w:eastAsia="宋体" w:cs="Times New Roman"/>
        </w:rPr>
      </w:pPr>
      <w:r>
        <w:rPr>
          <w:rFonts w:hint="eastAsia" w:ascii="Calibri" w:hAnsi="Calibri" w:eastAsia="宋体" w:cs="Times New Roman"/>
        </w:rPr>
        <w:t>1.商务部分 50分</w:t>
      </w:r>
    </w:p>
    <w:p>
      <w:pPr>
        <w:rPr>
          <w:rFonts w:ascii="Calibri" w:hAnsi="Calibri" w:eastAsia="宋体" w:cs="Times New Roman"/>
        </w:rPr>
      </w:pPr>
      <w:r>
        <w:rPr>
          <w:rFonts w:hint="eastAsia" w:ascii="Calibri" w:hAnsi="Calibri" w:eastAsia="宋体" w:cs="Times New Roman"/>
        </w:rPr>
        <w:t>2.技术部分 40分</w:t>
      </w:r>
    </w:p>
    <w:p>
      <w:pPr>
        <w:rPr>
          <w:rFonts w:hint="eastAsia" w:ascii="Calibri" w:hAnsi="Calibri" w:eastAsia="宋体" w:cs="Times New Roman"/>
        </w:rPr>
      </w:pPr>
      <w:r>
        <w:rPr>
          <w:rFonts w:hint="eastAsia" w:ascii="Calibri" w:hAnsi="Calibri" w:eastAsia="宋体" w:cs="Times New Roman"/>
        </w:rPr>
        <w:t>3.价格得分 10分</w:t>
      </w:r>
    </w:p>
    <w:p>
      <w:pPr>
        <w:rPr>
          <w:rFonts w:hint="eastAsia" w:ascii="Calibri" w:hAnsi="Calibri" w:eastAsia="宋体" w:cs="Times New Roman"/>
        </w:rPr>
      </w:pPr>
      <w:r>
        <w:rPr>
          <w:rFonts w:hint="eastAsia" w:ascii="Calibri" w:hAnsi="Calibri" w:eastAsia="宋体" w:cs="Times New Roman"/>
        </w:rPr>
        <w:t>4.本项目为专门面向中小企业项目，价格不作扣减优惠。</w:t>
      </w:r>
    </w:p>
    <w:p>
      <w:pPr>
        <w:rPr>
          <w:rFonts w:ascii="Calibri" w:hAnsi="Calibri" w:eastAsia="宋体" w:cs="Times New Roman"/>
        </w:rPr>
      </w:pPr>
      <w:r>
        <w:rPr>
          <w:rFonts w:hint="eastAsia" w:ascii="Calibri" w:hAnsi="Calibri" w:eastAsia="宋体" w:cs="Times New Roman"/>
        </w:rPr>
        <w:t xml:space="preserve">   </w:t>
      </w:r>
    </w:p>
    <w:p>
      <w:pPr>
        <w:rPr>
          <w:rFonts w:ascii="Calibri" w:hAnsi="Calibri" w:eastAsia="宋体" w:cs="Times New Roman"/>
          <w:b/>
          <w:bCs/>
          <w:sz w:val="24"/>
          <w:szCs w:val="32"/>
        </w:rPr>
      </w:pPr>
      <w:r>
        <w:rPr>
          <w:rFonts w:hint="eastAsia" w:ascii="Calibri" w:hAnsi="Calibri" w:eastAsia="宋体" w:cs="Times New Roman"/>
          <w:b/>
          <w:bCs/>
          <w:sz w:val="24"/>
          <w:szCs w:val="32"/>
        </w:rPr>
        <w:t>商务评分表（50分）</w:t>
      </w:r>
    </w:p>
    <w:tbl>
      <w:tblPr>
        <w:tblStyle w:val="11"/>
        <w:tblW w:w="10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197"/>
        <w:gridCol w:w="938"/>
        <w:gridCol w:w="6325"/>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08" w:type="dxa"/>
            <w:noWrap w:val="0"/>
            <w:vAlign w:val="center"/>
          </w:tcPr>
          <w:p>
            <w:pPr>
              <w:jc w:val="center"/>
              <w:rPr>
                <w:rFonts w:hint="eastAsia" w:ascii="Calibri" w:hAnsi="Calibri" w:eastAsia="宋体" w:cs="Times New Roman"/>
              </w:rPr>
            </w:pPr>
            <w:r>
              <w:rPr>
                <w:rFonts w:hint="eastAsia" w:ascii="Calibri" w:hAnsi="Calibri" w:eastAsia="宋体" w:cs="Times New Roman"/>
              </w:rPr>
              <w:t>序号</w:t>
            </w:r>
          </w:p>
        </w:tc>
        <w:tc>
          <w:tcPr>
            <w:tcW w:w="1197" w:type="dxa"/>
            <w:noWrap w:val="0"/>
            <w:vAlign w:val="center"/>
          </w:tcPr>
          <w:p>
            <w:pPr>
              <w:jc w:val="center"/>
              <w:rPr>
                <w:rFonts w:hint="eastAsia" w:ascii="Calibri" w:hAnsi="Calibri" w:eastAsia="宋体" w:cs="Times New Roman"/>
              </w:rPr>
            </w:pPr>
            <w:r>
              <w:rPr>
                <w:rFonts w:hint="eastAsia" w:ascii="Calibri" w:hAnsi="Calibri" w:eastAsia="宋体" w:cs="Times New Roman"/>
              </w:rPr>
              <w:t>评审因素</w:t>
            </w:r>
          </w:p>
        </w:tc>
        <w:tc>
          <w:tcPr>
            <w:tcW w:w="938" w:type="dxa"/>
            <w:noWrap w:val="0"/>
            <w:vAlign w:val="center"/>
          </w:tcPr>
          <w:p>
            <w:pPr>
              <w:jc w:val="center"/>
              <w:rPr>
                <w:rFonts w:hint="eastAsia" w:ascii="Calibri" w:hAnsi="Calibri" w:eastAsia="宋体" w:cs="Times New Roman"/>
              </w:rPr>
            </w:pPr>
            <w:r>
              <w:rPr>
                <w:rFonts w:hint="eastAsia" w:ascii="Calibri" w:hAnsi="Calibri" w:eastAsia="宋体" w:cs="Times New Roman"/>
              </w:rPr>
              <w:t>分值</w:t>
            </w:r>
          </w:p>
        </w:tc>
        <w:tc>
          <w:tcPr>
            <w:tcW w:w="6325" w:type="dxa"/>
            <w:noWrap w:val="0"/>
            <w:vAlign w:val="center"/>
          </w:tcPr>
          <w:p>
            <w:pPr>
              <w:jc w:val="center"/>
              <w:rPr>
                <w:rFonts w:hint="eastAsia" w:ascii="Calibri" w:hAnsi="Calibri" w:eastAsia="宋体" w:cs="Times New Roman"/>
              </w:rPr>
            </w:pPr>
            <w:r>
              <w:rPr>
                <w:rFonts w:hint="eastAsia" w:ascii="Calibri" w:hAnsi="Calibri" w:eastAsia="宋体" w:cs="Times New Roman"/>
              </w:rPr>
              <w:t>评审标准</w:t>
            </w:r>
          </w:p>
        </w:tc>
        <w:tc>
          <w:tcPr>
            <w:tcW w:w="844" w:type="dxa"/>
            <w:noWrap w:val="0"/>
            <w:vAlign w:val="center"/>
          </w:tcPr>
          <w:p>
            <w:pPr>
              <w:jc w:val="center"/>
              <w:rPr>
                <w:rFonts w:hint="eastAsia" w:ascii="Calibri" w:hAnsi="Calibri" w:eastAsia="宋体" w:cs="Times New Roman"/>
                <w:lang w:eastAsia="zh-CN"/>
              </w:rPr>
            </w:pPr>
            <w:r>
              <w:rPr>
                <w:rFonts w:hint="eastAsia" w:ascii="Calibri" w:hAnsi="Calibri" w:eastAsia="宋体" w:cs="Times New Roman"/>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center"/>
          </w:tcPr>
          <w:p>
            <w:pPr>
              <w:jc w:val="center"/>
              <w:rPr>
                <w:rFonts w:hint="eastAsia" w:ascii="Calibri" w:hAnsi="Calibri" w:eastAsia="宋体" w:cs="Times New Roman"/>
              </w:rPr>
            </w:pPr>
            <w:r>
              <w:rPr>
                <w:rFonts w:hint="eastAsia" w:ascii="Calibri" w:hAnsi="Calibri" w:eastAsia="宋体" w:cs="Times New Roman"/>
              </w:rPr>
              <w:t>1</w:t>
            </w:r>
          </w:p>
        </w:tc>
        <w:tc>
          <w:tcPr>
            <w:tcW w:w="1197" w:type="dxa"/>
            <w:noWrap w:val="0"/>
            <w:vAlign w:val="center"/>
          </w:tcPr>
          <w:p>
            <w:pPr>
              <w:rPr>
                <w:rFonts w:hint="eastAsia" w:ascii="Calibri" w:hAnsi="Calibri" w:eastAsia="宋体" w:cs="Times New Roman"/>
              </w:rPr>
            </w:pPr>
            <w:r>
              <w:rPr>
                <w:rFonts w:hint="eastAsia" w:ascii="Calibri" w:hAnsi="Calibri" w:eastAsia="宋体" w:cs="Times New Roman"/>
              </w:rPr>
              <w:t>企业认证</w:t>
            </w:r>
          </w:p>
        </w:tc>
        <w:tc>
          <w:tcPr>
            <w:tcW w:w="938" w:type="dxa"/>
            <w:noWrap w:val="0"/>
            <w:vAlign w:val="center"/>
          </w:tcPr>
          <w:p>
            <w:pPr>
              <w:rPr>
                <w:rFonts w:hint="eastAsia" w:ascii="Calibri" w:hAnsi="Calibri" w:eastAsia="宋体" w:cs="Times New Roman"/>
              </w:rPr>
            </w:pPr>
            <w:r>
              <w:rPr>
                <w:rFonts w:hint="eastAsia" w:ascii="Calibri" w:hAnsi="Calibri" w:eastAsia="宋体" w:cs="Times New Roman"/>
              </w:rPr>
              <w:t>3</w:t>
            </w:r>
          </w:p>
        </w:tc>
        <w:tc>
          <w:tcPr>
            <w:tcW w:w="6325" w:type="dxa"/>
            <w:noWrap w:val="0"/>
            <w:vAlign w:val="center"/>
          </w:tcPr>
          <w:p>
            <w:pPr>
              <w:rPr>
                <w:rFonts w:hint="eastAsia" w:ascii="Calibri" w:hAnsi="Calibri" w:eastAsia="宋体" w:cs="Times New Roman"/>
              </w:rPr>
            </w:pPr>
            <w:r>
              <w:rPr>
                <w:rFonts w:hint="eastAsia" w:ascii="Calibri" w:hAnsi="Calibri" w:eastAsia="宋体" w:cs="Times New Roman"/>
              </w:rPr>
              <w:t>对投标人持有以下认证进行评分：</w:t>
            </w:r>
          </w:p>
          <w:p>
            <w:pPr>
              <w:rPr>
                <w:rFonts w:hint="eastAsia" w:ascii="Calibri" w:hAnsi="Calibri" w:eastAsia="宋体" w:cs="Times New Roman"/>
              </w:rPr>
            </w:pPr>
            <w:r>
              <w:rPr>
                <w:rFonts w:hint="eastAsia" w:ascii="Calibri" w:hAnsi="Calibri" w:eastAsia="宋体" w:cs="Times New Roman"/>
              </w:rPr>
              <w:t>1.投标人具有有效的质量管理体系认证，得3分；</w:t>
            </w:r>
          </w:p>
          <w:p>
            <w:pPr>
              <w:rPr>
                <w:rFonts w:hint="eastAsia" w:ascii="Calibri" w:hAnsi="Calibri" w:eastAsia="宋体" w:cs="Times New Roman"/>
              </w:rPr>
            </w:pPr>
            <w:r>
              <w:rPr>
                <w:rFonts w:hint="eastAsia" w:ascii="Calibri" w:hAnsi="Calibri" w:eastAsia="宋体" w:cs="Times New Roman"/>
              </w:rPr>
              <w:t>投标人需要提供的资料及注意事项：</w:t>
            </w:r>
          </w:p>
          <w:p>
            <w:pPr>
              <w:rPr>
                <w:rFonts w:hint="eastAsia" w:ascii="Calibri" w:hAnsi="Calibri" w:eastAsia="宋体" w:cs="Times New Roman"/>
              </w:rPr>
            </w:pPr>
            <w:r>
              <w:rPr>
                <w:rFonts w:hint="eastAsia" w:ascii="Calibri" w:hAnsi="Calibri" w:eastAsia="宋体" w:cs="Times New Roman"/>
              </w:rPr>
              <w:t>（1）投标文件中提供认证证书复印件。（2）投标文件中提供以上认证在“全国认证认可信息公共服务平台”的查询截图（网址：http://cx.cnca.cn/CertECloud/result/skipResultList），截图中必须含有证书编号内容，且显示证书处于有效状态。 （3）因企业成立时间不足3个月，导致未能取得相关认证且提供书面说明的，对应证书可得分。（4）未按要求提供的不得分。</w:t>
            </w:r>
          </w:p>
        </w:tc>
        <w:tc>
          <w:tcPr>
            <w:tcW w:w="844" w:type="dxa"/>
            <w:noWrap w:val="0"/>
            <w:vAlign w:val="center"/>
          </w:tcPr>
          <w:p>
            <w:pPr>
              <w:rPr>
                <w:rFonts w:hint="eastAsia"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center"/>
          </w:tcPr>
          <w:p>
            <w:pPr>
              <w:jc w:val="center"/>
              <w:rPr>
                <w:rFonts w:hint="eastAsia" w:ascii="Calibri" w:hAnsi="Calibri" w:eastAsia="宋体" w:cs="Times New Roman"/>
              </w:rPr>
            </w:pPr>
            <w:r>
              <w:rPr>
                <w:rFonts w:hint="eastAsia" w:ascii="Calibri" w:hAnsi="Calibri" w:eastAsia="宋体" w:cs="Times New Roman"/>
              </w:rPr>
              <w:t>2</w:t>
            </w:r>
          </w:p>
        </w:tc>
        <w:tc>
          <w:tcPr>
            <w:tcW w:w="1197" w:type="dxa"/>
            <w:noWrap w:val="0"/>
            <w:vAlign w:val="center"/>
          </w:tcPr>
          <w:p>
            <w:pPr>
              <w:rPr>
                <w:rFonts w:hint="eastAsia" w:ascii="Calibri" w:hAnsi="Calibri" w:eastAsia="宋体" w:cs="Times New Roman"/>
              </w:rPr>
            </w:pPr>
            <w:r>
              <w:rPr>
                <w:rFonts w:hint="eastAsia" w:ascii="Calibri" w:hAnsi="Calibri" w:eastAsia="宋体" w:cs="Times New Roman"/>
              </w:rPr>
              <w:t xml:space="preserve">国有建设用地基准地价项目业绩 </w:t>
            </w:r>
          </w:p>
        </w:tc>
        <w:tc>
          <w:tcPr>
            <w:tcW w:w="938" w:type="dxa"/>
            <w:noWrap w:val="0"/>
            <w:vAlign w:val="center"/>
          </w:tcPr>
          <w:p>
            <w:pPr>
              <w:rPr>
                <w:rFonts w:hint="eastAsia" w:ascii="Calibri" w:hAnsi="Calibri" w:eastAsia="宋体" w:cs="Times New Roman"/>
              </w:rPr>
            </w:pPr>
            <w:r>
              <w:rPr>
                <w:rFonts w:hint="eastAsia" w:ascii="Calibri" w:hAnsi="Calibri" w:eastAsia="宋体" w:cs="Times New Roman"/>
              </w:rPr>
              <w:t>18</w:t>
            </w:r>
          </w:p>
        </w:tc>
        <w:tc>
          <w:tcPr>
            <w:tcW w:w="6325" w:type="dxa"/>
            <w:noWrap w:val="0"/>
            <w:vAlign w:val="center"/>
          </w:tcPr>
          <w:p>
            <w:pPr>
              <w:rPr>
                <w:rFonts w:hint="eastAsia" w:ascii="Calibri" w:hAnsi="Calibri" w:eastAsia="宋体" w:cs="Times New Roman"/>
              </w:rPr>
            </w:pPr>
            <w:r>
              <w:rPr>
                <w:rFonts w:hint="eastAsia" w:ascii="Calibri" w:hAnsi="Calibri" w:eastAsia="宋体" w:cs="Times New Roman"/>
              </w:rPr>
              <w:t>对投标人的业绩情况进行评分：</w:t>
            </w:r>
          </w:p>
          <w:p>
            <w:pPr>
              <w:rPr>
                <w:rFonts w:hint="eastAsia" w:ascii="Calibri" w:hAnsi="Calibri" w:eastAsia="宋体" w:cs="Times New Roman"/>
              </w:rPr>
            </w:pPr>
            <w:r>
              <w:rPr>
                <w:rFonts w:hint="eastAsia" w:ascii="Calibri" w:hAnsi="Calibri" w:eastAsia="宋体" w:cs="Times New Roman"/>
              </w:rPr>
              <w:t>对投标人2021年以来承接过国有建设用地基准地价项目的业绩情况，每份得3分，本项最高得18分。</w:t>
            </w:r>
          </w:p>
          <w:p>
            <w:pPr>
              <w:rPr>
                <w:rFonts w:hint="eastAsia" w:ascii="Calibri" w:hAnsi="Calibri" w:eastAsia="宋体" w:cs="Times New Roman"/>
              </w:rPr>
            </w:pPr>
            <w:r>
              <w:rPr>
                <w:rFonts w:hint="eastAsia" w:ascii="Calibri" w:hAnsi="Calibri" w:eastAsia="宋体" w:cs="Times New Roman"/>
              </w:rPr>
              <w:t>投标人需要提供的资料及注意事项：</w:t>
            </w:r>
          </w:p>
          <w:p>
            <w:pPr>
              <w:rPr>
                <w:rFonts w:hint="eastAsia" w:ascii="Calibri" w:hAnsi="Calibri" w:eastAsia="宋体" w:cs="Times New Roman"/>
              </w:rPr>
            </w:pPr>
            <w:r>
              <w:rPr>
                <w:rFonts w:hint="eastAsia" w:ascii="Calibri" w:hAnsi="Calibri" w:eastAsia="宋体" w:cs="Times New Roman"/>
              </w:rPr>
              <w:t>（1）最多计算6份业绩，同一份业绩只取最高分，不得重复得分。（2）投标文件中提供业绩合同复印件，合同内容需明确体现以上要求的服务内容，合同未能体现以上内容的，应在合同后面附上合同甲方的证明文件，以上资料都未体现的视为没有该项服务。（3）业绩合同履行期限在2021年1月1日（含）之后结束的，均符合“2021年以来”的要求。（4）未按要求提供的不得分。</w:t>
            </w:r>
          </w:p>
        </w:tc>
        <w:tc>
          <w:tcPr>
            <w:tcW w:w="844" w:type="dxa"/>
            <w:noWrap w:val="0"/>
            <w:vAlign w:val="center"/>
          </w:tcPr>
          <w:p>
            <w:pPr>
              <w:rPr>
                <w:rFonts w:hint="eastAsia"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center"/>
          </w:tcPr>
          <w:p>
            <w:pPr>
              <w:jc w:val="center"/>
              <w:rPr>
                <w:rFonts w:hint="eastAsia" w:ascii="Calibri" w:hAnsi="Calibri" w:eastAsia="宋体" w:cs="Times New Roman"/>
              </w:rPr>
            </w:pPr>
            <w:r>
              <w:rPr>
                <w:rFonts w:hint="eastAsia" w:ascii="Calibri" w:hAnsi="Calibri" w:eastAsia="宋体" w:cs="Times New Roman"/>
              </w:rPr>
              <w:t>3</w:t>
            </w:r>
          </w:p>
        </w:tc>
        <w:tc>
          <w:tcPr>
            <w:tcW w:w="1197" w:type="dxa"/>
            <w:noWrap w:val="0"/>
            <w:vAlign w:val="center"/>
          </w:tcPr>
          <w:p>
            <w:pPr>
              <w:rPr>
                <w:rFonts w:hint="eastAsia" w:ascii="Calibri" w:hAnsi="Calibri" w:eastAsia="宋体" w:cs="Times New Roman"/>
              </w:rPr>
            </w:pPr>
            <w:r>
              <w:rPr>
                <w:rFonts w:hint="eastAsia" w:ascii="Calibri" w:hAnsi="Calibri" w:eastAsia="宋体" w:cs="Times New Roman"/>
              </w:rPr>
              <w:t xml:space="preserve">计算机软件著作权登记证书 </w:t>
            </w:r>
          </w:p>
        </w:tc>
        <w:tc>
          <w:tcPr>
            <w:tcW w:w="938" w:type="dxa"/>
            <w:noWrap w:val="0"/>
            <w:vAlign w:val="center"/>
          </w:tcPr>
          <w:p>
            <w:pPr>
              <w:rPr>
                <w:rFonts w:hint="eastAsia" w:ascii="Calibri" w:hAnsi="Calibri" w:eastAsia="宋体" w:cs="Times New Roman"/>
              </w:rPr>
            </w:pPr>
            <w:r>
              <w:rPr>
                <w:rFonts w:hint="eastAsia" w:ascii="Calibri" w:hAnsi="Calibri" w:eastAsia="宋体" w:cs="Times New Roman"/>
              </w:rPr>
              <w:t>10</w:t>
            </w:r>
          </w:p>
        </w:tc>
        <w:tc>
          <w:tcPr>
            <w:tcW w:w="6325" w:type="dxa"/>
            <w:noWrap w:val="0"/>
            <w:vAlign w:val="center"/>
          </w:tcPr>
          <w:p>
            <w:pPr>
              <w:rPr>
                <w:rFonts w:hint="eastAsia" w:ascii="Calibri" w:hAnsi="Calibri" w:eastAsia="宋体" w:cs="Times New Roman"/>
              </w:rPr>
            </w:pPr>
            <w:r>
              <w:rPr>
                <w:rFonts w:hint="eastAsia" w:ascii="Calibri" w:hAnsi="Calibri" w:eastAsia="宋体" w:cs="Times New Roman"/>
              </w:rPr>
              <w:t xml:space="preserve">对投标人持有以下认证进行评分： </w:t>
            </w:r>
          </w:p>
          <w:p>
            <w:pPr>
              <w:rPr>
                <w:rFonts w:hint="eastAsia" w:ascii="Calibri" w:hAnsi="Calibri" w:eastAsia="宋体" w:cs="Times New Roman"/>
              </w:rPr>
            </w:pPr>
            <w:r>
              <w:rPr>
                <w:rFonts w:hint="eastAsia" w:ascii="Calibri" w:hAnsi="Calibri" w:eastAsia="宋体" w:cs="Times New Roman"/>
              </w:rPr>
              <w:t xml:space="preserve">投标人具有中华人民共和国国家版权局颁发的“基准地价”的计算机软件著作权登记证书，每个证书得2.5分，本项最高得10分。 </w:t>
            </w:r>
          </w:p>
          <w:p>
            <w:pPr>
              <w:rPr>
                <w:rFonts w:hint="eastAsia" w:ascii="Calibri" w:hAnsi="Calibri" w:eastAsia="宋体" w:cs="Times New Roman"/>
              </w:rPr>
            </w:pPr>
            <w:r>
              <w:rPr>
                <w:rFonts w:hint="eastAsia" w:ascii="Calibri" w:hAnsi="Calibri" w:eastAsia="宋体" w:cs="Times New Roman"/>
              </w:rPr>
              <w:t xml:space="preserve">投标人需要提供的资料及注意事项： </w:t>
            </w:r>
          </w:p>
          <w:p>
            <w:pPr>
              <w:rPr>
                <w:rFonts w:hint="eastAsia" w:ascii="Calibri" w:hAnsi="Calibri" w:eastAsia="宋体" w:cs="Times New Roman"/>
              </w:rPr>
            </w:pPr>
            <w:r>
              <w:rPr>
                <w:rFonts w:hint="eastAsia" w:ascii="Calibri" w:hAnsi="Calibri" w:eastAsia="宋体" w:cs="Times New Roman"/>
              </w:rPr>
              <w:t>（1）投标文件中提供上述证书复印件。</w:t>
            </w:r>
          </w:p>
          <w:p>
            <w:pPr>
              <w:rPr>
                <w:rFonts w:hint="eastAsia" w:ascii="Calibri" w:hAnsi="Calibri" w:eastAsia="宋体" w:cs="Times New Roman"/>
              </w:rPr>
            </w:pPr>
            <w:r>
              <w:rPr>
                <w:rFonts w:hint="eastAsia" w:ascii="Calibri" w:hAnsi="Calibri" w:eastAsia="宋体" w:cs="Times New Roman"/>
              </w:rPr>
              <w:t>（2）投标文件中</w:t>
            </w:r>
            <w:r>
              <w:rPr>
                <w:rFonts w:hint="eastAsia" w:ascii="Calibri" w:hAnsi="Calibri" w:eastAsia="宋体" w:cs="Times New Roman"/>
                <w:lang w:eastAsia="zh-CN"/>
              </w:rPr>
              <w:t>提供</w:t>
            </w:r>
            <w:r>
              <w:rPr>
                <w:rFonts w:hint="eastAsia" w:ascii="Calibri" w:hAnsi="Calibri" w:eastAsia="宋体" w:cs="Times New Roman"/>
              </w:rPr>
              <w:t>上述证书在“中国版权保护中心”的版权登记查询截图（网站：https://www.ccopyright.com.cn/）（登记公告检索网址：https://register.ccopyright.com.cn/query.html），截图必须含有“登记号”“著作权人”“软件全称”的内容。</w:t>
            </w:r>
          </w:p>
          <w:p>
            <w:pPr>
              <w:rPr>
                <w:rFonts w:hint="eastAsia" w:ascii="Calibri" w:hAnsi="Calibri" w:eastAsia="宋体" w:cs="Times New Roman"/>
              </w:rPr>
            </w:pPr>
            <w:r>
              <w:rPr>
                <w:rFonts w:hint="eastAsia" w:ascii="Calibri" w:hAnsi="Calibri" w:eastAsia="宋体" w:cs="Times New Roman"/>
              </w:rPr>
              <w:t>（3）未按要求提供的不得分。</w:t>
            </w:r>
          </w:p>
        </w:tc>
        <w:tc>
          <w:tcPr>
            <w:tcW w:w="844" w:type="dxa"/>
            <w:noWrap w:val="0"/>
            <w:vAlign w:val="center"/>
          </w:tcPr>
          <w:p>
            <w:pPr>
              <w:rPr>
                <w:rFonts w:hint="eastAsia"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center"/>
          </w:tcPr>
          <w:p>
            <w:pPr>
              <w:jc w:val="center"/>
              <w:rPr>
                <w:rFonts w:hint="eastAsia" w:ascii="Calibri" w:hAnsi="Calibri" w:eastAsia="宋体" w:cs="Times New Roman"/>
              </w:rPr>
            </w:pPr>
            <w:r>
              <w:rPr>
                <w:rFonts w:hint="eastAsia" w:ascii="Calibri" w:hAnsi="Calibri" w:eastAsia="宋体" w:cs="Times New Roman"/>
              </w:rPr>
              <w:t>4</w:t>
            </w:r>
          </w:p>
        </w:tc>
        <w:tc>
          <w:tcPr>
            <w:tcW w:w="1197" w:type="dxa"/>
            <w:noWrap w:val="0"/>
            <w:vAlign w:val="center"/>
          </w:tcPr>
          <w:p>
            <w:pPr>
              <w:rPr>
                <w:rFonts w:hint="eastAsia" w:ascii="Calibri" w:hAnsi="Calibri" w:eastAsia="宋体" w:cs="Times New Roman"/>
              </w:rPr>
            </w:pPr>
            <w:r>
              <w:rPr>
                <w:rFonts w:hint="eastAsia" w:ascii="Calibri" w:hAnsi="Calibri" w:eastAsia="宋体" w:cs="Times New Roman"/>
              </w:rPr>
              <w:t>项目负责人</w:t>
            </w:r>
          </w:p>
        </w:tc>
        <w:tc>
          <w:tcPr>
            <w:tcW w:w="938" w:type="dxa"/>
            <w:noWrap w:val="0"/>
            <w:vAlign w:val="center"/>
          </w:tcPr>
          <w:p>
            <w:pPr>
              <w:rPr>
                <w:rFonts w:hint="eastAsia" w:ascii="Calibri" w:hAnsi="Calibri" w:eastAsia="宋体" w:cs="Times New Roman"/>
              </w:rPr>
            </w:pPr>
            <w:r>
              <w:rPr>
                <w:rFonts w:hint="eastAsia" w:ascii="Calibri" w:hAnsi="Calibri" w:eastAsia="宋体" w:cs="Times New Roman"/>
              </w:rPr>
              <w:t>3</w:t>
            </w:r>
          </w:p>
        </w:tc>
        <w:tc>
          <w:tcPr>
            <w:tcW w:w="6325" w:type="dxa"/>
            <w:noWrap w:val="0"/>
            <w:vAlign w:val="center"/>
          </w:tcPr>
          <w:p>
            <w:pPr>
              <w:rPr>
                <w:rFonts w:hint="eastAsia" w:ascii="Calibri" w:hAnsi="Calibri" w:eastAsia="宋体" w:cs="Times New Roman"/>
              </w:rPr>
            </w:pPr>
            <w:r>
              <w:rPr>
                <w:rFonts w:hint="eastAsia" w:ascii="Calibri" w:hAnsi="Calibri" w:eastAsia="宋体" w:cs="Times New Roman"/>
              </w:rPr>
              <w:t xml:space="preserve">对项目负责人（仅1人）的资质进行评分： </w:t>
            </w:r>
          </w:p>
          <w:p>
            <w:pPr>
              <w:rPr>
                <w:rFonts w:hint="eastAsia" w:ascii="Calibri" w:hAnsi="Calibri" w:eastAsia="宋体" w:cs="Times New Roman"/>
              </w:rPr>
            </w:pPr>
            <w:r>
              <w:rPr>
                <w:rFonts w:hint="eastAsia" w:ascii="Calibri" w:hAnsi="Calibri" w:eastAsia="宋体" w:cs="Times New Roman"/>
              </w:rPr>
              <w:t xml:space="preserve">1.具备政府相关职能部门颁发的国土相关专业高级职称的，得3分； </w:t>
            </w:r>
          </w:p>
          <w:p>
            <w:pPr>
              <w:rPr>
                <w:rFonts w:hint="eastAsia" w:ascii="Calibri" w:hAnsi="Calibri" w:eastAsia="宋体" w:cs="Times New Roman"/>
              </w:rPr>
            </w:pPr>
            <w:r>
              <w:rPr>
                <w:rFonts w:hint="eastAsia" w:ascii="Calibri" w:hAnsi="Calibri" w:eastAsia="宋体" w:cs="Times New Roman"/>
              </w:rPr>
              <w:t xml:space="preserve">2.具备政府相关职能部门颁发的国土相关专业中级职称的，得2分； </w:t>
            </w:r>
          </w:p>
          <w:p>
            <w:pPr>
              <w:rPr>
                <w:rFonts w:hint="eastAsia" w:ascii="Calibri" w:hAnsi="Calibri" w:eastAsia="宋体" w:cs="Times New Roman"/>
              </w:rPr>
            </w:pPr>
            <w:r>
              <w:rPr>
                <w:rFonts w:hint="eastAsia" w:ascii="Calibri" w:hAnsi="Calibri" w:eastAsia="宋体" w:cs="Times New Roman"/>
              </w:rPr>
              <w:t xml:space="preserve">3.具备政府相关职能部门颁发的国土相关专业初级职称的，得1分。 </w:t>
            </w:r>
          </w:p>
          <w:p>
            <w:pPr>
              <w:rPr>
                <w:rFonts w:hint="eastAsia" w:ascii="Calibri" w:hAnsi="Calibri" w:eastAsia="宋体" w:cs="Times New Roman"/>
              </w:rPr>
            </w:pPr>
            <w:r>
              <w:rPr>
                <w:rFonts w:hint="eastAsia" w:ascii="Calibri" w:hAnsi="Calibri" w:eastAsia="宋体" w:cs="Times New Roman"/>
              </w:rPr>
              <w:t xml:space="preserve">投标人需要提供的资料及注意事项： </w:t>
            </w:r>
          </w:p>
          <w:p>
            <w:pPr>
              <w:rPr>
                <w:rFonts w:hint="eastAsia" w:ascii="Calibri" w:hAnsi="Calibri" w:eastAsia="宋体" w:cs="Times New Roman"/>
              </w:rPr>
            </w:pPr>
            <w:r>
              <w:rPr>
                <w:rFonts w:hint="eastAsia" w:ascii="Calibri" w:hAnsi="Calibri" w:eastAsia="宋体" w:cs="Times New Roman"/>
              </w:rPr>
              <w:t>（1）本项最高得3分。</w:t>
            </w:r>
          </w:p>
          <w:p>
            <w:pPr>
              <w:rPr>
                <w:rFonts w:hint="eastAsia" w:ascii="Calibri" w:hAnsi="Calibri" w:eastAsia="宋体" w:cs="Times New Roman"/>
              </w:rPr>
            </w:pPr>
            <w:r>
              <w:rPr>
                <w:rFonts w:hint="eastAsia" w:ascii="Calibri" w:hAnsi="Calibri" w:eastAsia="宋体" w:cs="Times New Roman"/>
              </w:rPr>
              <w:t>（2）投标文件中提供上述证书复印件。</w:t>
            </w:r>
          </w:p>
          <w:p>
            <w:pPr>
              <w:rPr>
                <w:rFonts w:hint="eastAsia" w:ascii="Calibri" w:hAnsi="Calibri" w:eastAsia="宋体" w:cs="Times New Roman"/>
              </w:rPr>
            </w:pPr>
            <w:r>
              <w:rPr>
                <w:rFonts w:hint="eastAsia" w:ascii="Calibri" w:hAnsi="Calibri" w:eastAsia="宋体" w:cs="Times New Roman"/>
              </w:rPr>
              <w:t>（3）以上岗位人员为中标后拟投入本项目的人员。</w:t>
            </w:r>
          </w:p>
          <w:p>
            <w:pPr>
              <w:rPr>
                <w:rFonts w:hint="eastAsia" w:ascii="Calibri" w:hAnsi="Calibri" w:eastAsia="宋体" w:cs="Times New Roman"/>
              </w:rPr>
            </w:pPr>
            <w:r>
              <w:rPr>
                <w:rFonts w:hint="eastAsia" w:ascii="Calibri" w:hAnsi="Calibri" w:eastAsia="宋体" w:cs="Times New Roman"/>
              </w:rPr>
              <w:t>（4）上述证书只取其最高等级得分，不重复计算；相同等级职称证书，只按一个证书计分，提供的职称资料未能体现证书等级的不得分；</w:t>
            </w:r>
          </w:p>
          <w:p>
            <w:pPr>
              <w:rPr>
                <w:rFonts w:hint="eastAsia" w:ascii="Calibri" w:hAnsi="Calibri" w:eastAsia="宋体" w:cs="Times New Roman"/>
              </w:rPr>
            </w:pPr>
            <w:r>
              <w:rPr>
                <w:rFonts w:hint="eastAsia" w:ascii="Calibri" w:hAnsi="Calibri" w:eastAsia="宋体" w:cs="Times New Roman"/>
              </w:rPr>
              <w:t>（5）为证明拟投入项目负责人为投标人员工，需要投标人提供为其购买社保证明（开标当天前三个月内的任意一个月）复印件，若投标人成立时间不足1个月的应提供《社保声明函》（见采购公告附件）代替社保证明（成立时间以营业执照注册时间为准）。</w:t>
            </w:r>
          </w:p>
        </w:tc>
        <w:tc>
          <w:tcPr>
            <w:tcW w:w="844" w:type="dxa"/>
            <w:noWrap w:val="0"/>
            <w:vAlign w:val="center"/>
          </w:tcPr>
          <w:p>
            <w:pPr>
              <w:rPr>
                <w:rFonts w:hint="eastAsia"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noWrap w:val="0"/>
            <w:vAlign w:val="center"/>
          </w:tcPr>
          <w:p>
            <w:pPr>
              <w:jc w:val="center"/>
              <w:rPr>
                <w:rFonts w:hint="eastAsia" w:ascii="Calibri" w:hAnsi="Calibri" w:eastAsia="宋体" w:cs="Times New Roman"/>
              </w:rPr>
            </w:pPr>
            <w:r>
              <w:rPr>
                <w:rFonts w:hint="eastAsia" w:ascii="Calibri" w:hAnsi="Calibri" w:eastAsia="宋体" w:cs="Times New Roman"/>
              </w:rPr>
              <w:t>5</w:t>
            </w:r>
          </w:p>
        </w:tc>
        <w:tc>
          <w:tcPr>
            <w:tcW w:w="1197" w:type="dxa"/>
            <w:noWrap w:val="0"/>
            <w:vAlign w:val="center"/>
          </w:tcPr>
          <w:p>
            <w:pPr>
              <w:rPr>
                <w:rFonts w:hint="eastAsia" w:ascii="Calibri" w:hAnsi="Calibri" w:eastAsia="宋体" w:cs="Times New Roman"/>
              </w:rPr>
            </w:pPr>
            <w:r>
              <w:rPr>
                <w:rFonts w:hint="eastAsia" w:ascii="Calibri" w:hAnsi="Calibri" w:eastAsia="宋体" w:cs="Times New Roman"/>
              </w:rPr>
              <w:t>项目团队</w:t>
            </w:r>
          </w:p>
        </w:tc>
        <w:tc>
          <w:tcPr>
            <w:tcW w:w="938" w:type="dxa"/>
            <w:noWrap w:val="0"/>
            <w:vAlign w:val="center"/>
          </w:tcPr>
          <w:p>
            <w:pPr>
              <w:rPr>
                <w:rFonts w:hint="eastAsia" w:ascii="Calibri" w:hAnsi="Calibri" w:eastAsia="宋体" w:cs="Times New Roman"/>
              </w:rPr>
            </w:pPr>
            <w:r>
              <w:rPr>
                <w:rFonts w:hint="eastAsia" w:ascii="Calibri" w:hAnsi="Calibri" w:eastAsia="宋体" w:cs="Times New Roman"/>
              </w:rPr>
              <w:t>16</w:t>
            </w:r>
          </w:p>
        </w:tc>
        <w:tc>
          <w:tcPr>
            <w:tcW w:w="6325" w:type="dxa"/>
            <w:noWrap w:val="0"/>
            <w:vAlign w:val="center"/>
          </w:tcPr>
          <w:p>
            <w:pPr>
              <w:rPr>
                <w:rFonts w:hint="eastAsia" w:ascii="Calibri" w:hAnsi="Calibri" w:eastAsia="宋体" w:cs="Times New Roman"/>
              </w:rPr>
            </w:pPr>
            <w:r>
              <w:rPr>
                <w:rFonts w:hint="eastAsia" w:ascii="Calibri" w:hAnsi="Calibri" w:eastAsia="宋体" w:cs="Times New Roman"/>
              </w:rPr>
              <w:t xml:space="preserve">对项目团队共16人（除项目负责人外）进行评分： </w:t>
            </w:r>
          </w:p>
          <w:p>
            <w:pPr>
              <w:rPr>
                <w:rFonts w:hint="eastAsia" w:ascii="Calibri" w:hAnsi="Calibri" w:eastAsia="宋体" w:cs="Times New Roman"/>
              </w:rPr>
            </w:pPr>
            <w:r>
              <w:rPr>
                <w:rFonts w:hint="eastAsia" w:ascii="Calibri" w:hAnsi="Calibri" w:eastAsia="宋体" w:cs="Times New Roman"/>
              </w:rPr>
              <w:t>1.项目团队成员中属于省级或以上不动产登记与估价专业人员协会或土地估价师协会的“公示地价组”专家库专家</w:t>
            </w:r>
            <w:r>
              <w:rPr>
                <w:rFonts w:hint="eastAsia" w:ascii="Calibri" w:hAnsi="Calibri" w:eastAsia="宋体" w:cs="Times New Roman"/>
                <w:lang w:eastAsia="zh-CN"/>
              </w:rPr>
              <w:t>或“土地估价报告评议组”专家库专家</w:t>
            </w:r>
            <w:r>
              <w:rPr>
                <w:rFonts w:hint="eastAsia" w:ascii="Calibri" w:hAnsi="Calibri" w:eastAsia="宋体" w:cs="Times New Roman"/>
              </w:rPr>
              <w:t>，须提供专家库成员相关聘书，每个得0.5分，未按要求提供不得分,本小项最高得</w:t>
            </w:r>
            <w:r>
              <w:rPr>
                <w:rFonts w:hint="eastAsia" w:ascii="Calibri" w:hAnsi="Calibri" w:eastAsia="宋体" w:cs="Times New Roman"/>
                <w:lang w:val="en-US" w:eastAsia="zh-CN"/>
              </w:rPr>
              <w:t>8</w:t>
            </w:r>
            <w:r>
              <w:rPr>
                <w:rFonts w:hint="eastAsia" w:ascii="Calibri" w:hAnsi="Calibri" w:eastAsia="宋体" w:cs="Times New Roman"/>
              </w:rPr>
              <w:t xml:space="preserve">分。 </w:t>
            </w:r>
          </w:p>
          <w:p>
            <w:pPr>
              <w:rPr>
                <w:rFonts w:hint="eastAsia" w:ascii="Calibri" w:hAnsi="Calibri" w:eastAsia="宋体" w:cs="Times New Roman"/>
              </w:rPr>
            </w:pPr>
            <w:r>
              <w:rPr>
                <w:rFonts w:hint="eastAsia" w:ascii="Calibri" w:hAnsi="Calibri" w:eastAsia="宋体" w:cs="Times New Roman"/>
              </w:rPr>
              <w:t>2.具备政府相关职能部门颁发的国土相关专业初级职称</w:t>
            </w:r>
            <w:r>
              <w:rPr>
                <w:rFonts w:hint="eastAsia" w:ascii="Calibri" w:hAnsi="Calibri" w:eastAsia="宋体" w:cs="Times New Roman"/>
                <w:lang w:eastAsia="zh-CN"/>
              </w:rPr>
              <w:t>或以上</w:t>
            </w:r>
            <w:r>
              <w:rPr>
                <w:rFonts w:hint="eastAsia" w:ascii="Calibri" w:hAnsi="Calibri" w:eastAsia="宋体" w:cs="Times New Roman"/>
              </w:rPr>
              <w:t xml:space="preserve">的，每个得0.5分，本小项最高得8分。 </w:t>
            </w:r>
          </w:p>
          <w:p>
            <w:pPr>
              <w:rPr>
                <w:rFonts w:hint="eastAsia" w:ascii="Calibri" w:hAnsi="Calibri" w:eastAsia="宋体" w:cs="Times New Roman"/>
              </w:rPr>
            </w:pPr>
            <w:r>
              <w:rPr>
                <w:rFonts w:hint="eastAsia" w:ascii="Calibri" w:hAnsi="Calibri" w:eastAsia="宋体" w:cs="Times New Roman"/>
              </w:rPr>
              <w:t xml:space="preserve">投标人需要提供的资料及注意事项： </w:t>
            </w:r>
          </w:p>
          <w:p>
            <w:pPr>
              <w:rPr>
                <w:rFonts w:hint="eastAsia" w:ascii="Calibri" w:hAnsi="Calibri" w:eastAsia="宋体" w:cs="Times New Roman"/>
              </w:rPr>
            </w:pPr>
            <w:r>
              <w:rPr>
                <w:rFonts w:hint="eastAsia" w:ascii="Calibri" w:hAnsi="Calibri" w:eastAsia="宋体" w:cs="Times New Roman"/>
              </w:rPr>
              <w:t>（1）本项最高得16分。</w:t>
            </w:r>
          </w:p>
          <w:p>
            <w:pPr>
              <w:rPr>
                <w:rFonts w:hint="eastAsia" w:ascii="Calibri" w:hAnsi="Calibri" w:eastAsia="宋体" w:cs="Times New Roman"/>
              </w:rPr>
            </w:pPr>
            <w:r>
              <w:rPr>
                <w:rFonts w:hint="eastAsia" w:ascii="Calibri" w:hAnsi="Calibri" w:eastAsia="宋体" w:cs="Times New Roman"/>
              </w:rPr>
              <w:t>（2）投标文件中提供上述证书复印件。</w:t>
            </w:r>
          </w:p>
          <w:p>
            <w:pPr>
              <w:rPr>
                <w:rFonts w:hint="eastAsia" w:ascii="Calibri" w:hAnsi="Calibri" w:eastAsia="宋体" w:cs="Times New Roman"/>
              </w:rPr>
            </w:pPr>
            <w:r>
              <w:rPr>
                <w:rFonts w:hint="eastAsia" w:ascii="Calibri" w:hAnsi="Calibri" w:eastAsia="宋体" w:cs="Times New Roman"/>
              </w:rPr>
              <w:t>（3）以上岗位人员均为中标后拟投入本项目的人员。</w:t>
            </w:r>
          </w:p>
          <w:p>
            <w:pPr>
              <w:pStyle w:val="2"/>
              <w:rPr>
                <w:rFonts w:hint="eastAsia" w:eastAsia="宋体"/>
                <w:lang w:eastAsia="zh-CN"/>
              </w:rPr>
            </w:pPr>
            <w:r>
              <w:rPr>
                <w:rFonts w:hint="eastAsia" w:ascii="Calibri" w:hAnsi="Calibri" w:eastAsia="宋体" w:cs="Times New Roman"/>
                <w:lang w:eastAsia="zh-CN"/>
              </w:rPr>
              <w:t>（</w:t>
            </w:r>
            <w:r>
              <w:rPr>
                <w:rFonts w:hint="eastAsia" w:ascii="Calibri" w:hAnsi="Calibri" w:eastAsia="宋体" w:cs="Times New Roman"/>
                <w:lang w:val="en-US" w:eastAsia="zh-CN"/>
              </w:rPr>
              <w:t>4</w:t>
            </w:r>
            <w:r>
              <w:rPr>
                <w:rFonts w:hint="eastAsia" w:ascii="Calibri" w:hAnsi="Calibri" w:eastAsia="宋体" w:cs="Times New Roman"/>
                <w:lang w:eastAsia="zh-CN"/>
              </w:rPr>
              <w:t>）“公示地价组”及“土地估价报告评议组”专家库专家需在最新公布的专家库名单内，否则聘书无效，投标文件中提供公布专家库名单通知截图及专家库成员名单。</w:t>
            </w:r>
          </w:p>
          <w:p>
            <w:pPr>
              <w:rPr>
                <w:rFonts w:hint="eastAsia" w:ascii="Calibri" w:hAnsi="Calibri" w:eastAsia="宋体" w:cs="Times New Roman"/>
              </w:rPr>
            </w:pPr>
            <w:r>
              <w:rPr>
                <w:rFonts w:hint="eastAsia" w:ascii="Calibri" w:hAnsi="Calibri" w:eastAsia="宋体" w:cs="Times New Roman"/>
              </w:rPr>
              <w:t>（</w:t>
            </w:r>
            <w:r>
              <w:rPr>
                <w:rFonts w:hint="eastAsia" w:ascii="Calibri" w:hAnsi="Calibri" w:eastAsia="宋体" w:cs="Times New Roman"/>
                <w:lang w:val="en-US" w:eastAsia="zh-CN"/>
              </w:rPr>
              <w:t>5</w:t>
            </w:r>
            <w:r>
              <w:rPr>
                <w:rFonts w:hint="eastAsia" w:ascii="Calibri" w:hAnsi="Calibri" w:eastAsia="宋体" w:cs="Times New Roman"/>
              </w:rPr>
              <w:t>）上述证书只取其最高证明得分，不重复计算；相同等级相关证明，只按一个资料计分；</w:t>
            </w:r>
          </w:p>
          <w:p>
            <w:pPr>
              <w:rPr>
                <w:rFonts w:hint="eastAsia" w:ascii="Calibri" w:hAnsi="Calibri" w:eastAsia="宋体" w:cs="Times New Roman"/>
              </w:rPr>
            </w:pPr>
            <w:r>
              <w:rPr>
                <w:rFonts w:hint="eastAsia" w:ascii="Calibri" w:hAnsi="Calibri" w:eastAsia="宋体" w:cs="Times New Roman"/>
              </w:rPr>
              <w:t>（</w:t>
            </w:r>
            <w:r>
              <w:rPr>
                <w:rFonts w:hint="eastAsia" w:ascii="Calibri" w:hAnsi="Calibri" w:eastAsia="宋体" w:cs="Times New Roman"/>
                <w:lang w:val="en-US" w:eastAsia="zh-CN"/>
              </w:rPr>
              <w:t>6</w:t>
            </w:r>
            <w:bookmarkStart w:id="0" w:name="_GoBack"/>
            <w:bookmarkEnd w:id="0"/>
            <w:r>
              <w:rPr>
                <w:rFonts w:hint="eastAsia" w:ascii="Calibri" w:hAnsi="Calibri" w:eastAsia="宋体" w:cs="Times New Roman"/>
              </w:rPr>
              <w:t>）为证明拟投入项目团队成员为投标人员工，需要投标人提供为其购买社保证明（开标当天前三个月内的任意一个月）复印件，若投标人成立时间不足1个月的应提供《社保声明函》（见采购公告附件）代替社保证明（成立时间以营业执照注册时间为准）。</w:t>
            </w:r>
          </w:p>
        </w:tc>
        <w:tc>
          <w:tcPr>
            <w:tcW w:w="844" w:type="dxa"/>
            <w:noWrap w:val="0"/>
            <w:vAlign w:val="center"/>
          </w:tcPr>
          <w:p>
            <w:pPr>
              <w:rPr>
                <w:rFonts w:hint="eastAsia" w:ascii="Calibri" w:hAnsi="Calibri" w:eastAsia="宋体" w:cs="Times New Roman"/>
              </w:rPr>
            </w:pPr>
          </w:p>
        </w:tc>
      </w:tr>
    </w:tbl>
    <w:p>
      <w:pPr>
        <w:rPr>
          <w:rFonts w:ascii="Calibri" w:hAnsi="Calibri" w:eastAsia="宋体" w:cs="Times New Roman"/>
        </w:rPr>
      </w:pPr>
    </w:p>
    <w:p>
      <w:pPr>
        <w:pStyle w:val="3"/>
        <w:ind w:left="0" w:leftChars="0" w:firstLine="0" w:firstLineChars="0"/>
      </w:pPr>
    </w:p>
    <w:p>
      <w:pPr>
        <w:rPr>
          <w:rFonts w:hint="eastAsia" w:ascii="Calibri" w:hAnsi="Calibri" w:eastAsia="宋体" w:cs="Times New Roman"/>
          <w:b/>
          <w:bCs/>
          <w:sz w:val="24"/>
          <w:szCs w:val="32"/>
        </w:rPr>
      </w:pPr>
      <w:r>
        <w:rPr>
          <w:rFonts w:hint="eastAsia" w:ascii="Calibri" w:hAnsi="Calibri" w:eastAsia="宋体" w:cs="Times New Roman"/>
          <w:b/>
          <w:bCs/>
          <w:sz w:val="24"/>
          <w:szCs w:val="32"/>
        </w:rPr>
        <w:t>技术评分表（40分）</w:t>
      </w:r>
    </w:p>
    <w:tbl>
      <w:tblPr>
        <w:tblStyle w:val="11"/>
        <w:tblW w:w="10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170"/>
        <w:gridCol w:w="930"/>
        <w:gridCol w:w="6352"/>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97" w:type="dxa"/>
            <w:noWrap w:val="0"/>
            <w:vAlign w:val="center"/>
          </w:tcPr>
          <w:p>
            <w:pPr>
              <w:jc w:val="center"/>
              <w:rPr>
                <w:rFonts w:hint="eastAsia" w:ascii="Calibri" w:hAnsi="Calibri" w:eastAsia="宋体" w:cs="Times New Roman"/>
              </w:rPr>
            </w:pPr>
            <w:r>
              <w:rPr>
                <w:rFonts w:hint="eastAsia" w:ascii="Calibri" w:hAnsi="Calibri" w:eastAsia="宋体" w:cs="Times New Roman"/>
              </w:rPr>
              <w:t>序号</w:t>
            </w:r>
          </w:p>
        </w:tc>
        <w:tc>
          <w:tcPr>
            <w:tcW w:w="1170" w:type="dxa"/>
            <w:noWrap w:val="0"/>
            <w:vAlign w:val="center"/>
          </w:tcPr>
          <w:p>
            <w:pPr>
              <w:jc w:val="center"/>
              <w:rPr>
                <w:rFonts w:hint="eastAsia" w:ascii="Calibri" w:hAnsi="Calibri" w:eastAsia="宋体" w:cs="Times New Roman"/>
              </w:rPr>
            </w:pPr>
            <w:r>
              <w:rPr>
                <w:rFonts w:hint="eastAsia" w:ascii="Calibri" w:hAnsi="Calibri" w:eastAsia="宋体" w:cs="Times New Roman"/>
              </w:rPr>
              <w:t>评审因素</w:t>
            </w:r>
          </w:p>
        </w:tc>
        <w:tc>
          <w:tcPr>
            <w:tcW w:w="930" w:type="dxa"/>
            <w:noWrap w:val="0"/>
            <w:vAlign w:val="center"/>
          </w:tcPr>
          <w:p>
            <w:pPr>
              <w:jc w:val="center"/>
              <w:rPr>
                <w:rFonts w:hint="eastAsia" w:ascii="Calibri" w:hAnsi="Calibri" w:eastAsia="宋体" w:cs="Times New Roman"/>
              </w:rPr>
            </w:pPr>
            <w:r>
              <w:rPr>
                <w:rFonts w:hint="eastAsia" w:ascii="Calibri" w:hAnsi="Calibri" w:eastAsia="宋体" w:cs="Times New Roman"/>
              </w:rPr>
              <w:t>分值</w:t>
            </w:r>
          </w:p>
        </w:tc>
        <w:tc>
          <w:tcPr>
            <w:tcW w:w="6352" w:type="dxa"/>
            <w:noWrap w:val="0"/>
            <w:vAlign w:val="center"/>
          </w:tcPr>
          <w:p>
            <w:pPr>
              <w:jc w:val="center"/>
              <w:rPr>
                <w:rFonts w:hint="eastAsia" w:ascii="Calibri" w:hAnsi="Calibri" w:eastAsia="宋体" w:cs="Times New Roman"/>
              </w:rPr>
            </w:pPr>
            <w:r>
              <w:rPr>
                <w:rFonts w:hint="eastAsia" w:ascii="Calibri" w:hAnsi="Calibri" w:eastAsia="宋体" w:cs="Times New Roman"/>
              </w:rPr>
              <w:t>评审标准</w:t>
            </w:r>
          </w:p>
        </w:tc>
        <w:tc>
          <w:tcPr>
            <w:tcW w:w="798" w:type="dxa"/>
            <w:noWrap w:val="0"/>
            <w:vAlign w:val="center"/>
          </w:tcPr>
          <w:p>
            <w:pPr>
              <w:jc w:val="center"/>
              <w:rPr>
                <w:rFonts w:hint="eastAsia" w:ascii="Calibri" w:hAnsi="Calibri" w:eastAsia="宋体" w:cs="Times New Roman"/>
                <w:lang w:eastAsia="zh-CN"/>
              </w:rPr>
            </w:pPr>
            <w:r>
              <w:rPr>
                <w:rFonts w:hint="eastAsia" w:ascii="Calibri" w:hAnsi="Calibri" w:eastAsia="宋体" w:cs="Times New Roman"/>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97" w:type="dxa"/>
            <w:noWrap w:val="0"/>
            <w:vAlign w:val="center"/>
          </w:tcPr>
          <w:p>
            <w:pPr>
              <w:jc w:val="center"/>
              <w:rPr>
                <w:rFonts w:hint="eastAsia" w:ascii="Calibri" w:hAnsi="Calibri" w:eastAsia="宋体" w:cs="Times New Roman"/>
              </w:rPr>
            </w:pPr>
            <w:r>
              <w:rPr>
                <w:rFonts w:hint="eastAsia" w:ascii="Calibri" w:hAnsi="Calibri" w:eastAsia="宋体" w:cs="Times New Roman"/>
              </w:rPr>
              <w:t>1</w:t>
            </w:r>
          </w:p>
        </w:tc>
        <w:tc>
          <w:tcPr>
            <w:tcW w:w="1170" w:type="dxa"/>
            <w:noWrap w:val="0"/>
            <w:vAlign w:val="center"/>
          </w:tcPr>
          <w:p>
            <w:pPr>
              <w:rPr>
                <w:rFonts w:hint="eastAsia" w:ascii="Calibri" w:hAnsi="Calibri" w:eastAsia="宋体" w:cs="Times New Roman"/>
              </w:rPr>
            </w:pPr>
            <w:r>
              <w:rPr>
                <w:rFonts w:hint="eastAsia" w:ascii="Calibri" w:hAnsi="Calibri" w:eastAsia="宋体" w:cs="Times New Roman"/>
              </w:rPr>
              <w:t>项目技术方案总述</w:t>
            </w:r>
          </w:p>
        </w:tc>
        <w:tc>
          <w:tcPr>
            <w:tcW w:w="930" w:type="dxa"/>
            <w:noWrap w:val="0"/>
            <w:vAlign w:val="center"/>
          </w:tcPr>
          <w:p>
            <w:pPr>
              <w:rPr>
                <w:rFonts w:hint="eastAsia" w:ascii="Calibri" w:hAnsi="Calibri" w:eastAsia="宋体" w:cs="Times New Roman"/>
                <w:lang w:eastAsia="zh-CN"/>
              </w:rPr>
            </w:pPr>
            <w:r>
              <w:rPr>
                <w:rFonts w:hint="eastAsia" w:ascii="Calibri" w:hAnsi="Calibri" w:eastAsia="宋体" w:cs="Times New Roman"/>
                <w:lang w:val="en-US" w:eastAsia="zh-CN"/>
              </w:rPr>
              <w:t>8</w:t>
            </w:r>
          </w:p>
        </w:tc>
        <w:tc>
          <w:tcPr>
            <w:tcW w:w="6352" w:type="dxa"/>
            <w:noWrap w:val="0"/>
            <w:vAlign w:val="center"/>
          </w:tcPr>
          <w:p>
            <w:pPr>
              <w:rPr>
                <w:rFonts w:hint="eastAsia" w:ascii="Calibri" w:hAnsi="Calibri" w:eastAsia="宋体" w:cs="Times New Roman"/>
              </w:rPr>
            </w:pPr>
            <w:r>
              <w:rPr>
                <w:rFonts w:hint="eastAsia" w:ascii="Calibri" w:hAnsi="Calibri" w:eastAsia="宋体" w:cs="Times New Roman"/>
              </w:rPr>
              <w:t>根据各投标人提供的项目技术方案总述进行综合评审。</w:t>
            </w:r>
          </w:p>
          <w:p>
            <w:pPr>
              <w:rPr>
                <w:rFonts w:hint="eastAsia" w:ascii="Calibri" w:hAnsi="Calibri" w:eastAsia="宋体" w:cs="Times New Roman"/>
              </w:rPr>
            </w:pPr>
            <w:r>
              <w:rPr>
                <w:rFonts w:hint="eastAsia" w:ascii="Calibri" w:hAnsi="Calibri" w:eastAsia="宋体" w:cs="Times New Roman"/>
              </w:rPr>
              <w:t>1.得</w:t>
            </w:r>
            <w:r>
              <w:rPr>
                <w:rFonts w:hint="eastAsia" w:ascii="Calibri" w:hAnsi="Calibri" w:eastAsia="宋体" w:cs="Times New Roman"/>
                <w:lang w:val="en-US" w:eastAsia="zh-CN"/>
              </w:rPr>
              <w:t>8</w:t>
            </w:r>
            <w:r>
              <w:rPr>
                <w:rFonts w:hint="eastAsia" w:ascii="Calibri" w:hAnsi="Calibri" w:eastAsia="宋体" w:cs="Times New Roman"/>
              </w:rPr>
              <w:t>分：项目技术方案总述优于招标文件中“采购需求”的要求；</w:t>
            </w:r>
          </w:p>
          <w:p>
            <w:pPr>
              <w:rPr>
                <w:rFonts w:hint="eastAsia" w:ascii="Calibri" w:hAnsi="Calibri" w:eastAsia="宋体" w:cs="Times New Roman"/>
              </w:rPr>
            </w:pPr>
            <w:r>
              <w:rPr>
                <w:rFonts w:hint="eastAsia" w:ascii="Calibri" w:hAnsi="Calibri" w:eastAsia="宋体" w:cs="Times New Roman"/>
              </w:rPr>
              <w:t>2.得</w:t>
            </w:r>
            <w:r>
              <w:rPr>
                <w:rFonts w:hint="eastAsia" w:ascii="Calibri" w:hAnsi="Calibri" w:eastAsia="宋体" w:cs="Times New Roman"/>
                <w:lang w:val="en-US" w:eastAsia="zh-CN"/>
              </w:rPr>
              <w:t>5</w:t>
            </w:r>
            <w:r>
              <w:rPr>
                <w:rFonts w:hint="eastAsia" w:ascii="Calibri" w:hAnsi="Calibri" w:eastAsia="宋体" w:cs="Times New Roman"/>
              </w:rPr>
              <w:t>分：项目技术方案总述基本满足招标文件中“采购需求”的要求；</w:t>
            </w:r>
          </w:p>
          <w:p>
            <w:pPr>
              <w:rPr>
                <w:rFonts w:hint="eastAsia" w:ascii="Calibri" w:hAnsi="Calibri" w:eastAsia="宋体" w:cs="Times New Roman"/>
              </w:rPr>
            </w:pPr>
            <w:r>
              <w:rPr>
                <w:rFonts w:hint="eastAsia" w:ascii="Calibri" w:hAnsi="Calibri" w:eastAsia="宋体" w:cs="Times New Roman"/>
              </w:rPr>
              <w:t>3.得2分：项目技术方案总述仅部分满足招标文件中“采购需求”的要求；</w:t>
            </w:r>
          </w:p>
          <w:p>
            <w:pPr>
              <w:rPr>
                <w:rFonts w:hint="eastAsia" w:ascii="Calibri" w:hAnsi="Calibri" w:eastAsia="宋体" w:cs="Times New Roman"/>
              </w:rPr>
            </w:pPr>
            <w:r>
              <w:rPr>
                <w:rFonts w:hint="eastAsia" w:ascii="Calibri" w:hAnsi="Calibri" w:eastAsia="宋体" w:cs="Times New Roman"/>
              </w:rPr>
              <w:t>4.得0分：项目技术方案总述不满足要求或未提供相关资料。</w:t>
            </w:r>
          </w:p>
        </w:tc>
        <w:tc>
          <w:tcPr>
            <w:tcW w:w="798" w:type="dxa"/>
            <w:noWrap w:val="0"/>
            <w:vAlign w:val="center"/>
          </w:tcPr>
          <w:p>
            <w:pPr>
              <w:rPr>
                <w:rFonts w:hint="eastAsia"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97" w:type="dxa"/>
            <w:noWrap w:val="0"/>
            <w:vAlign w:val="center"/>
          </w:tcPr>
          <w:p>
            <w:pPr>
              <w:jc w:val="center"/>
              <w:rPr>
                <w:rFonts w:hint="eastAsia" w:ascii="Calibri" w:hAnsi="Calibri" w:eastAsia="宋体" w:cs="Times New Roman"/>
              </w:rPr>
            </w:pPr>
            <w:r>
              <w:rPr>
                <w:rFonts w:hint="eastAsia" w:ascii="Calibri" w:hAnsi="Calibri" w:eastAsia="宋体" w:cs="Times New Roman"/>
              </w:rPr>
              <w:t>2</w:t>
            </w:r>
          </w:p>
        </w:tc>
        <w:tc>
          <w:tcPr>
            <w:tcW w:w="1170" w:type="dxa"/>
            <w:noWrap w:val="0"/>
            <w:vAlign w:val="center"/>
          </w:tcPr>
          <w:p>
            <w:pPr>
              <w:rPr>
                <w:rFonts w:hint="eastAsia" w:ascii="Calibri" w:hAnsi="Calibri" w:eastAsia="宋体" w:cs="Times New Roman"/>
              </w:rPr>
            </w:pPr>
            <w:r>
              <w:rPr>
                <w:rFonts w:hint="eastAsia" w:ascii="Calibri" w:hAnsi="Calibri" w:eastAsia="宋体" w:cs="Times New Roman"/>
              </w:rPr>
              <w:t>项目技术重点、难点分析及应对措施</w:t>
            </w:r>
          </w:p>
        </w:tc>
        <w:tc>
          <w:tcPr>
            <w:tcW w:w="930" w:type="dxa"/>
            <w:noWrap w:val="0"/>
            <w:vAlign w:val="center"/>
          </w:tcPr>
          <w:p>
            <w:pPr>
              <w:rPr>
                <w:rFonts w:hint="eastAsia" w:ascii="Calibri" w:hAnsi="Calibri" w:eastAsia="宋体" w:cs="Times New Roman"/>
                <w:lang w:eastAsia="zh-CN"/>
              </w:rPr>
            </w:pPr>
            <w:r>
              <w:rPr>
                <w:rFonts w:hint="eastAsia" w:ascii="Calibri" w:hAnsi="Calibri" w:eastAsia="宋体" w:cs="Times New Roman"/>
                <w:lang w:val="en-US" w:eastAsia="zh-CN"/>
              </w:rPr>
              <w:t>8</w:t>
            </w:r>
          </w:p>
        </w:tc>
        <w:tc>
          <w:tcPr>
            <w:tcW w:w="6352" w:type="dxa"/>
            <w:noWrap w:val="0"/>
            <w:vAlign w:val="top"/>
          </w:tcPr>
          <w:p>
            <w:pPr>
              <w:rPr>
                <w:rFonts w:hint="eastAsia" w:ascii="Calibri" w:hAnsi="Calibri" w:eastAsia="宋体" w:cs="Times New Roman"/>
              </w:rPr>
            </w:pPr>
            <w:r>
              <w:rPr>
                <w:rFonts w:hint="eastAsia" w:ascii="Calibri" w:hAnsi="Calibri" w:eastAsia="宋体" w:cs="Times New Roman"/>
              </w:rPr>
              <w:t>对各投标人提供的项目技术重点、难点分析及应对措施进行评审。</w:t>
            </w:r>
          </w:p>
          <w:p>
            <w:pPr>
              <w:rPr>
                <w:rFonts w:hint="eastAsia" w:ascii="Calibri" w:hAnsi="Calibri" w:eastAsia="宋体" w:cs="Times New Roman"/>
              </w:rPr>
            </w:pPr>
            <w:r>
              <w:rPr>
                <w:rFonts w:hint="eastAsia" w:ascii="Calibri" w:hAnsi="Calibri" w:eastAsia="宋体" w:cs="Times New Roman"/>
              </w:rPr>
              <w:t>1.得</w:t>
            </w:r>
            <w:r>
              <w:rPr>
                <w:rFonts w:hint="eastAsia" w:ascii="Calibri" w:hAnsi="Calibri" w:eastAsia="宋体" w:cs="Times New Roman"/>
                <w:lang w:val="en-US" w:eastAsia="zh-CN"/>
              </w:rPr>
              <w:t>8</w:t>
            </w:r>
            <w:r>
              <w:rPr>
                <w:rFonts w:hint="eastAsia" w:ascii="Calibri" w:hAnsi="Calibri" w:eastAsia="宋体" w:cs="Times New Roman"/>
              </w:rPr>
              <w:t>分：项目技术重点、难点分析及应对措施优于招标文件中“采购需求”的要求；</w:t>
            </w:r>
          </w:p>
          <w:p>
            <w:pPr>
              <w:rPr>
                <w:rFonts w:hint="eastAsia" w:ascii="Calibri" w:hAnsi="Calibri" w:eastAsia="宋体" w:cs="Times New Roman"/>
              </w:rPr>
            </w:pPr>
            <w:r>
              <w:rPr>
                <w:rFonts w:hint="eastAsia" w:ascii="Calibri" w:hAnsi="Calibri" w:eastAsia="宋体" w:cs="Times New Roman"/>
              </w:rPr>
              <w:t>2.得</w:t>
            </w:r>
            <w:r>
              <w:rPr>
                <w:rFonts w:hint="eastAsia" w:ascii="Calibri" w:hAnsi="Calibri" w:eastAsia="宋体" w:cs="Times New Roman"/>
                <w:lang w:val="en-US" w:eastAsia="zh-CN"/>
              </w:rPr>
              <w:t>5</w:t>
            </w:r>
            <w:r>
              <w:rPr>
                <w:rFonts w:hint="eastAsia" w:ascii="Calibri" w:hAnsi="Calibri" w:eastAsia="宋体" w:cs="Times New Roman"/>
              </w:rPr>
              <w:t>分：项目技术重点、难点分析及应对措施基本满足招标文件中“采购需求”的要求；</w:t>
            </w:r>
          </w:p>
          <w:p>
            <w:pPr>
              <w:rPr>
                <w:rFonts w:hint="eastAsia" w:ascii="Calibri" w:hAnsi="Calibri" w:eastAsia="宋体" w:cs="Times New Roman"/>
              </w:rPr>
            </w:pPr>
            <w:r>
              <w:rPr>
                <w:rFonts w:hint="eastAsia" w:ascii="Calibri" w:hAnsi="Calibri" w:eastAsia="宋体" w:cs="Times New Roman"/>
              </w:rPr>
              <w:t>3.得2分：项目技术重点、难点分析及应对措施仅部分满足招标文件中“采购需求”的要求；</w:t>
            </w:r>
          </w:p>
          <w:p>
            <w:pPr>
              <w:rPr>
                <w:rFonts w:hint="eastAsia" w:ascii="Calibri" w:hAnsi="Calibri" w:eastAsia="宋体" w:cs="Times New Roman"/>
              </w:rPr>
            </w:pPr>
            <w:r>
              <w:rPr>
                <w:rFonts w:hint="eastAsia" w:ascii="Calibri" w:hAnsi="Calibri" w:eastAsia="宋体" w:cs="Times New Roman"/>
              </w:rPr>
              <w:t>4.得0分：项目技术重点、难点分析及应对措施不满足要求或未提供相关资料。</w:t>
            </w:r>
          </w:p>
        </w:tc>
        <w:tc>
          <w:tcPr>
            <w:tcW w:w="798" w:type="dxa"/>
            <w:noWrap w:val="0"/>
            <w:vAlign w:val="top"/>
          </w:tcPr>
          <w:p>
            <w:pPr>
              <w:rPr>
                <w:rFonts w:hint="eastAsia"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97" w:type="dxa"/>
            <w:noWrap w:val="0"/>
            <w:vAlign w:val="center"/>
          </w:tcPr>
          <w:p>
            <w:pPr>
              <w:jc w:val="center"/>
              <w:rPr>
                <w:rFonts w:hint="eastAsia" w:ascii="Calibri" w:hAnsi="Calibri" w:eastAsia="宋体" w:cs="Times New Roman"/>
              </w:rPr>
            </w:pPr>
            <w:r>
              <w:rPr>
                <w:rFonts w:hint="eastAsia" w:ascii="Calibri" w:hAnsi="Calibri" w:eastAsia="宋体" w:cs="Times New Roman"/>
              </w:rPr>
              <w:t>3</w:t>
            </w:r>
          </w:p>
        </w:tc>
        <w:tc>
          <w:tcPr>
            <w:tcW w:w="1170" w:type="dxa"/>
            <w:noWrap w:val="0"/>
            <w:vAlign w:val="center"/>
          </w:tcPr>
          <w:p>
            <w:pPr>
              <w:rPr>
                <w:rFonts w:hint="eastAsia" w:ascii="Calibri" w:hAnsi="Calibri" w:eastAsia="宋体" w:cs="Times New Roman"/>
              </w:rPr>
            </w:pPr>
            <w:r>
              <w:rPr>
                <w:rFonts w:hint="eastAsia" w:ascii="Calibri" w:hAnsi="Calibri" w:eastAsia="宋体" w:cs="Times New Roman"/>
              </w:rPr>
              <w:t>项目编制工作进度计划</w:t>
            </w:r>
          </w:p>
        </w:tc>
        <w:tc>
          <w:tcPr>
            <w:tcW w:w="930" w:type="dxa"/>
            <w:noWrap w:val="0"/>
            <w:vAlign w:val="center"/>
          </w:tcPr>
          <w:p>
            <w:pPr>
              <w:rPr>
                <w:rFonts w:hint="eastAsia" w:ascii="Calibri" w:hAnsi="Calibri" w:eastAsia="宋体" w:cs="Times New Roman"/>
                <w:lang w:eastAsia="zh-CN"/>
              </w:rPr>
            </w:pPr>
            <w:r>
              <w:rPr>
                <w:rFonts w:hint="eastAsia" w:ascii="Calibri" w:hAnsi="Calibri" w:eastAsia="宋体" w:cs="Times New Roman"/>
                <w:lang w:val="en-US" w:eastAsia="zh-CN"/>
              </w:rPr>
              <w:t>8</w:t>
            </w:r>
          </w:p>
        </w:tc>
        <w:tc>
          <w:tcPr>
            <w:tcW w:w="6352" w:type="dxa"/>
            <w:noWrap w:val="0"/>
            <w:vAlign w:val="top"/>
          </w:tcPr>
          <w:p>
            <w:pPr>
              <w:rPr>
                <w:rFonts w:hint="eastAsia" w:ascii="Calibri" w:hAnsi="Calibri" w:eastAsia="宋体" w:cs="Times New Roman"/>
              </w:rPr>
            </w:pPr>
            <w:r>
              <w:rPr>
                <w:rFonts w:hint="eastAsia" w:ascii="Calibri" w:hAnsi="Calibri" w:eastAsia="宋体" w:cs="Times New Roman"/>
              </w:rPr>
              <w:t>对各投标人提供的项目编制工作进度计划进行评审。</w:t>
            </w:r>
          </w:p>
          <w:p>
            <w:pPr>
              <w:rPr>
                <w:rFonts w:hint="eastAsia" w:ascii="Calibri" w:hAnsi="Calibri" w:eastAsia="宋体" w:cs="Times New Roman"/>
              </w:rPr>
            </w:pPr>
            <w:r>
              <w:rPr>
                <w:rFonts w:hint="eastAsia" w:ascii="Calibri" w:hAnsi="Calibri" w:eastAsia="宋体" w:cs="Times New Roman"/>
              </w:rPr>
              <w:t>1.得</w:t>
            </w:r>
            <w:r>
              <w:rPr>
                <w:rFonts w:hint="eastAsia" w:ascii="Calibri" w:hAnsi="Calibri" w:eastAsia="宋体" w:cs="Times New Roman"/>
                <w:lang w:val="en-US" w:eastAsia="zh-CN"/>
              </w:rPr>
              <w:t>8</w:t>
            </w:r>
            <w:r>
              <w:rPr>
                <w:rFonts w:hint="eastAsia" w:ascii="Calibri" w:hAnsi="Calibri" w:eastAsia="宋体" w:cs="Times New Roman"/>
              </w:rPr>
              <w:t>分：项目编制工作进度计划优于招标文件中“采购需求”的要求；</w:t>
            </w:r>
          </w:p>
          <w:p>
            <w:pPr>
              <w:rPr>
                <w:rFonts w:hint="eastAsia" w:ascii="Calibri" w:hAnsi="Calibri" w:eastAsia="宋体" w:cs="Times New Roman"/>
              </w:rPr>
            </w:pPr>
            <w:r>
              <w:rPr>
                <w:rFonts w:hint="eastAsia" w:ascii="Calibri" w:hAnsi="Calibri" w:eastAsia="宋体" w:cs="Times New Roman"/>
              </w:rPr>
              <w:t>2.得</w:t>
            </w:r>
            <w:r>
              <w:rPr>
                <w:rFonts w:hint="eastAsia" w:ascii="Calibri" w:hAnsi="Calibri" w:eastAsia="宋体" w:cs="Times New Roman"/>
                <w:lang w:val="en-US" w:eastAsia="zh-CN"/>
              </w:rPr>
              <w:t>5</w:t>
            </w:r>
            <w:r>
              <w:rPr>
                <w:rFonts w:hint="eastAsia" w:ascii="Calibri" w:hAnsi="Calibri" w:eastAsia="宋体" w:cs="Times New Roman"/>
              </w:rPr>
              <w:t>分：项目编制工作进度计划基本满足招标文件中“采购需求”的要求；</w:t>
            </w:r>
          </w:p>
          <w:p>
            <w:pPr>
              <w:rPr>
                <w:rFonts w:hint="eastAsia" w:ascii="Calibri" w:hAnsi="Calibri" w:eastAsia="宋体" w:cs="Times New Roman"/>
              </w:rPr>
            </w:pPr>
            <w:r>
              <w:rPr>
                <w:rFonts w:hint="eastAsia" w:ascii="Calibri" w:hAnsi="Calibri" w:eastAsia="宋体" w:cs="Times New Roman"/>
              </w:rPr>
              <w:t>3.得2分：项目编制工作进度计划仅部分满足招标文件中“采购需求”的要求；</w:t>
            </w:r>
          </w:p>
          <w:p>
            <w:pPr>
              <w:rPr>
                <w:rFonts w:hint="eastAsia" w:ascii="Calibri" w:hAnsi="Calibri" w:eastAsia="宋体" w:cs="Times New Roman"/>
              </w:rPr>
            </w:pPr>
            <w:r>
              <w:rPr>
                <w:rFonts w:hint="eastAsia" w:ascii="Calibri" w:hAnsi="Calibri" w:eastAsia="宋体" w:cs="Times New Roman"/>
              </w:rPr>
              <w:t>4.得0分：项目编制工作进度计划不满足要求或未提供相关资料。</w:t>
            </w:r>
          </w:p>
        </w:tc>
        <w:tc>
          <w:tcPr>
            <w:tcW w:w="798" w:type="dxa"/>
            <w:noWrap w:val="0"/>
            <w:vAlign w:val="top"/>
          </w:tcPr>
          <w:p>
            <w:pPr>
              <w:rPr>
                <w:rFonts w:hint="eastAsia"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center"/>
          </w:tcPr>
          <w:p>
            <w:pPr>
              <w:jc w:val="center"/>
              <w:rPr>
                <w:rFonts w:hint="eastAsia" w:ascii="Calibri" w:hAnsi="Calibri" w:eastAsia="宋体" w:cs="Times New Roman"/>
              </w:rPr>
            </w:pPr>
            <w:r>
              <w:rPr>
                <w:rFonts w:hint="eastAsia" w:ascii="Calibri" w:hAnsi="Calibri" w:eastAsia="宋体" w:cs="Times New Roman"/>
              </w:rPr>
              <w:t>4</w:t>
            </w:r>
          </w:p>
        </w:tc>
        <w:tc>
          <w:tcPr>
            <w:tcW w:w="1170" w:type="dxa"/>
            <w:noWrap w:val="0"/>
            <w:vAlign w:val="center"/>
          </w:tcPr>
          <w:p>
            <w:pPr>
              <w:rPr>
                <w:rFonts w:hint="eastAsia" w:ascii="Calibri" w:hAnsi="Calibri" w:eastAsia="宋体" w:cs="Times New Roman"/>
              </w:rPr>
            </w:pPr>
            <w:r>
              <w:rPr>
                <w:rFonts w:hint="eastAsia" w:ascii="Calibri" w:hAnsi="Calibri" w:eastAsia="宋体" w:cs="Times New Roman"/>
              </w:rPr>
              <w:t xml:space="preserve">成果质量保证措施 </w:t>
            </w:r>
          </w:p>
        </w:tc>
        <w:tc>
          <w:tcPr>
            <w:tcW w:w="930" w:type="dxa"/>
            <w:noWrap w:val="0"/>
            <w:vAlign w:val="center"/>
          </w:tcPr>
          <w:p>
            <w:pPr>
              <w:rPr>
                <w:rFonts w:hint="eastAsia" w:ascii="Calibri" w:hAnsi="Calibri" w:eastAsia="宋体" w:cs="Times New Roman"/>
                <w:lang w:eastAsia="zh-CN"/>
              </w:rPr>
            </w:pPr>
            <w:r>
              <w:rPr>
                <w:rFonts w:hint="eastAsia" w:ascii="Calibri" w:hAnsi="Calibri" w:eastAsia="宋体" w:cs="Times New Roman"/>
                <w:lang w:val="en-US" w:eastAsia="zh-CN"/>
              </w:rPr>
              <w:t>8</w:t>
            </w:r>
          </w:p>
        </w:tc>
        <w:tc>
          <w:tcPr>
            <w:tcW w:w="6352" w:type="dxa"/>
            <w:noWrap w:val="0"/>
            <w:vAlign w:val="top"/>
          </w:tcPr>
          <w:p>
            <w:pPr>
              <w:rPr>
                <w:rFonts w:hint="eastAsia" w:ascii="Calibri" w:hAnsi="Calibri" w:eastAsia="宋体" w:cs="Times New Roman"/>
              </w:rPr>
            </w:pPr>
            <w:r>
              <w:rPr>
                <w:rFonts w:hint="eastAsia" w:ascii="Calibri" w:hAnsi="Calibri" w:eastAsia="宋体" w:cs="Times New Roman"/>
              </w:rPr>
              <w:t>对各投标人提供的成果质量保证措施进行评审。</w:t>
            </w:r>
          </w:p>
          <w:p>
            <w:pPr>
              <w:rPr>
                <w:rFonts w:hint="eastAsia" w:ascii="Calibri" w:hAnsi="Calibri" w:eastAsia="宋体" w:cs="Times New Roman"/>
              </w:rPr>
            </w:pPr>
            <w:r>
              <w:rPr>
                <w:rFonts w:hint="eastAsia" w:ascii="Calibri" w:hAnsi="Calibri" w:eastAsia="宋体" w:cs="Times New Roman"/>
              </w:rPr>
              <w:t>1.得</w:t>
            </w:r>
            <w:r>
              <w:rPr>
                <w:rFonts w:hint="eastAsia" w:ascii="Calibri" w:hAnsi="Calibri" w:eastAsia="宋体" w:cs="Times New Roman"/>
                <w:lang w:val="en-US" w:eastAsia="zh-CN"/>
              </w:rPr>
              <w:t>8</w:t>
            </w:r>
            <w:r>
              <w:rPr>
                <w:rFonts w:hint="eastAsia" w:ascii="Calibri" w:hAnsi="Calibri" w:eastAsia="宋体" w:cs="Times New Roman"/>
              </w:rPr>
              <w:t>分：成果质量保证措施优于招标文件中“采购需求”的要求；</w:t>
            </w:r>
          </w:p>
          <w:p>
            <w:pPr>
              <w:rPr>
                <w:rFonts w:hint="eastAsia" w:ascii="Calibri" w:hAnsi="Calibri" w:eastAsia="宋体" w:cs="Times New Roman"/>
              </w:rPr>
            </w:pPr>
            <w:r>
              <w:rPr>
                <w:rFonts w:hint="eastAsia" w:ascii="Calibri" w:hAnsi="Calibri" w:eastAsia="宋体" w:cs="Times New Roman"/>
              </w:rPr>
              <w:t>2.得</w:t>
            </w:r>
            <w:r>
              <w:rPr>
                <w:rFonts w:hint="eastAsia" w:ascii="Calibri" w:hAnsi="Calibri" w:eastAsia="宋体" w:cs="Times New Roman"/>
                <w:lang w:val="en-US" w:eastAsia="zh-CN"/>
              </w:rPr>
              <w:t>5</w:t>
            </w:r>
            <w:r>
              <w:rPr>
                <w:rFonts w:hint="eastAsia" w:ascii="Calibri" w:hAnsi="Calibri" w:eastAsia="宋体" w:cs="Times New Roman"/>
              </w:rPr>
              <w:t>分：成果质量保证措施基本满足招标文件中“采购需求”的要求；</w:t>
            </w:r>
          </w:p>
          <w:p>
            <w:pPr>
              <w:rPr>
                <w:rFonts w:hint="eastAsia" w:ascii="Calibri" w:hAnsi="Calibri" w:eastAsia="宋体" w:cs="Times New Roman"/>
              </w:rPr>
            </w:pPr>
            <w:r>
              <w:rPr>
                <w:rFonts w:hint="eastAsia" w:ascii="Calibri" w:hAnsi="Calibri" w:eastAsia="宋体" w:cs="Times New Roman"/>
              </w:rPr>
              <w:t>3.得2分：成果质量保证措施仅部分满足招标文件中“采购需求”的要求；</w:t>
            </w:r>
          </w:p>
          <w:p>
            <w:pPr>
              <w:rPr>
                <w:rFonts w:hint="eastAsia" w:ascii="Calibri" w:hAnsi="Calibri" w:eastAsia="宋体" w:cs="Times New Roman"/>
              </w:rPr>
            </w:pPr>
            <w:r>
              <w:rPr>
                <w:rFonts w:hint="eastAsia" w:ascii="Calibri" w:hAnsi="Calibri" w:eastAsia="宋体" w:cs="Times New Roman"/>
              </w:rPr>
              <w:t>4.得0分：成果质量保证措施不满足要求或未提供相关资料。</w:t>
            </w:r>
          </w:p>
        </w:tc>
        <w:tc>
          <w:tcPr>
            <w:tcW w:w="798" w:type="dxa"/>
            <w:noWrap w:val="0"/>
            <w:vAlign w:val="top"/>
          </w:tcPr>
          <w:p>
            <w:pPr>
              <w:rPr>
                <w:rFonts w:hint="eastAsia"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noWrap w:val="0"/>
            <w:vAlign w:val="center"/>
          </w:tcPr>
          <w:p>
            <w:pPr>
              <w:jc w:val="center"/>
              <w:rPr>
                <w:rFonts w:hint="eastAsia" w:ascii="Calibri" w:hAnsi="Calibri" w:eastAsia="宋体" w:cs="Times New Roman"/>
                <w:lang w:eastAsia="zh-CN"/>
              </w:rPr>
            </w:pPr>
            <w:r>
              <w:rPr>
                <w:rFonts w:hint="eastAsia" w:ascii="Calibri" w:hAnsi="Calibri" w:eastAsia="宋体" w:cs="Times New Roman"/>
                <w:lang w:val="en-US" w:eastAsia="zh-CN"/>
              </w:rPr>
              <w:t>5</w:t>
            </w:r>
          </w:p>
        </w:tc>
        <w:tc>
          <w:tcPr>
            <w:tcW w:w="1170" w:type="dxa"/>
            <w:noWrap w:val="0"/>
            <w:vAlign w:val="center"/>
          </w:tcPr>
          <w:p>
            <w:pPr>
              <w:rPr>
                <w:rFonts w:hint="eastAsia" w:ascii="Calibri" w:hAnsi="Calibri" w:eastAsia="宋体" w:cs="Times New Roman"/>
              </w:rPr>
            </w:pPr>
            <w:r>
              <w:rPr>
                <w:rFonts w:hint="eastAsia" w:ascii="Calibri" w:hAnsi="Calibri" w:eastAsia="宋体" w:cs="Times New Roman"/>
              </w:rPr>
              <w:t>对项目所在城市土地市场、土地政策的熟悉情况</w:t>
            </w:r>
          </w:p>
        </w:tc>
        <w:tc>
          <w:tcPr>
            <w:tcW w:w="930" w:type="dxa"/>
            <w:noWrap w:val="0"/>
            <w:vAlign w:val="center"/>
          </w:tcPr>
          <w:p>
            <w:pPr>
              <w:rPr>
                <w:rFonts w:hint="eastAsia" w:ascii="Calibri" w:hAnsi="Calibri" w:eastAsia="宋体" w:cs="Times New Roman"/>
                <w:lang w:eastAsia="zh-CN"/>
              </w:rPr>
            </w:pPr>
            <w:r>
              <w:rPr>
                <w:rFonts w:hint="eastAsia" w:ascii="Calibri" w:hAnsi="Calibri" w:eastAsia="宋体" w:cs="Times New Roman"/>
                <w:lang w:val="en-US" w:eastAsia="zh-CN"/>
              </w:rPr>
              <w:t>8</w:t>
            </w:r>
          </w:p>
        </w:tc>
        <w:tc>
          <w:tcPr>
            <w:tcW w:w="6352" w:type="dxa"/>
            <w:noWrap w:val="0"/>
            <w:vAlign w:val="top"/>
          </w:tcPr>
          <w:p>
            <w:pPr>
              <w:rPr>
                <w:rFonts w:hint="eastAsia" w:ascii="Calibri" w:hAnsi="Calibri" w:eastAsia="宋体" w:cs="Times New Roman"/>
              </w:rPr>
            </w:pPr>
            <w:r>
              <w:rPr>
                <w:rFonts w:hint="eastAsia" w:ascii="Calibri" w:hAnsi="Calibri" w:eastAsia="宋体" w:cs="Times New Roman"/>
              </w:rPr>
              <w:t>对各投标人提供的对项目所在城市土地市场、土地政策的熟悉情况进行评审。</w:t>
            </w:r>
          </w:p>
          <w:p>
            <w:pPr>
              <w:rPr>
                <w:rFonts w:hint="eastAsia" w:ascii="Calibri" w:hAnsi="Calibri" w:eastAsia="宋体" w:cs="Times New Roman"/>
              </w:rPr>
            </w:pPr>
            <w:r>
              <w:rPr>
                <w:rFonts w:hint="eastAsia" w:ascii="Calibri" w:hAnsi="Calibri" w:eastAsia="宋体" w:cs="Times New Roman"/>
              </w:rPr>
              <w:t>1.得</w:t>
            </w:r>
            <w:r>
              <w:rPr>
                <w:rFonts w:hint="eastAsia" w:ascii="Calibri" w:hAnsi="Calibri" w:eastAsia="宋体" w:cs="Times New Roman"/>
                <w:lang w:val="en-US" w:eastAsia="zh-CN"/>
              </w:rPr>
              <w:t>8</w:t>
            </w:r>
            <w:r>
              <w:rPr>
                <w:rFonts w:hint="eastAsia" w:ascii="Calibri" w:hAnsi="Calibri" w:eastAsia="宋体" w:cs="Times New Roman"/>
              </w:rPr>
              <w:t>分：对项目所在城市土地市场、土地政策的熟悉情况优于招标文件中“采购需求”的要求；</w:t>
            </w:r>
          </w:p>
          <w:p>
            <w:pPr>
              <w:rPr>
                <w:rFonts w:hint="eastAsia" w:ascii="Calibri" w:hAnsi="Calibri" w:eastAsia="宋体" w:cs="Times New Roman"/>
              </w:rPr>
            </w:pPr>
            <w:r>
              <w:rPr>
                <w:rFonts w:hint="eastAsia" w:ascii="Calibri" w:hAnsi="Calibri" w:eastAsia="宋体" w:cs="Times New Roman"/>
              </w:rPr>
              <w:t>2.得</w:t>
            </w:r>
            <w:r>
              <w:rPr>
                <w:rFonts w:hint="eastAsia" w:ascii="Calibri" w:hAnsi="Calibri" w:eastAsia="宋体" w:cs="Times New Roman"/>
                <w:lang w:val="en-US" w:eastAsia="zh-CN"/>
              </w:rPr>
              <w:t>5</w:t>
            </w:r>
            <w:r>
              <w:rPr>
                <w:rFonts w:hint="eastAsia" w:ascii="Calibri" w:hAnsi="Calibri" w:eastAsia="宋体" w:cs="Times New Roman"/>
              </w:rPr>
              <w:t>分：对项目所在城市土地市场、土地政策的熟悉情况基本满足招标文件中“采购需求”的要求；</w:t>
            </w:r>
          </w:p>
          <w:p>
            <w:pPr>
              <w:rPr>
                <w:rFonts w:hint="eastAsia" w:ascii="Calibri" w:hAnsi="Calibri" w:eastAsia="宋体" w:cs="Times New Roman"/>
              </w:rPr>
            </w:pPr>
            <w:r>
              <w:rPr>
                <w:rFonts w:hint="eastAsia" w:ascii="Calibri" w:hAnsi="Calibri" w:eastAsia="宋体" w:cs="Times New Roman"/>
              </w:rPr>
              <w:t>3.得</w:t>
            </w:r>
            <w:r>
              <w:rPr>
                <w:rFonts w:hint="eastAsia" w:ascii="Calibri" w:hAnsi="Calibri" w:eastAsia="宋体" w:cs="Times New Roman"/>
                <w:lang w:val="en-US" w:eastAsia="zh-CN"/>
              </w:rPr>
              <w:t>2</w:t>
            </w:r>
            <w:r>
              <w:rPr>
                <w:rFonts w:hint="eastAsia" w:ascii="Calibri" w:hAnsi="Calibri" w:eastAsia="宋体" w:cs="Times New Roman"/>
              </w:rPr>
              <w:t>分：对项目所在城市土地市场、土地政策的熟悉情况仅部分满足招标文件中“采购需求”的要求；</w:t>
            </w:r>
          </w:p>
          <w:p>
            <w:pPr>
              <w:rPr>
                <w:rFonts w:hint="eastAsia" w:ascii="Calibri" w:hAnsi="Calibri" w:eastAsia="宋体" w:cs="Times New Roman"/>
              </w:rPr>
            </w:pPr>
            <w:r>
              <w:rPr>
                <w:rFonts w:hint="eastAsia" w:ascii="Calibri" w:hAnsi="Calibri" w:eastAsia="宋体" w:cs="Times New Roman"/>
              </w:rPr>
              <w:t>4.得0分：对项目所在城市土地市场、土地政策的熟悉情况不满足要求或未提供相关资料。</w:t>
            </w:r>
          </w:p>
        </w:tc>
        <w:tc>
          <w:tcPr>
            <w:tcW w:w="798" w:type="dxa"/>
            <w:noWrap w:val="0"/>
            <w:vAlign w:val="top"/>
          </w:tcPr>
          <w:p>
            <w:pPr>
              <w:rPr>
                <w:rFonts w:hint="eastAsia" w:ascii="Calibri" w:hAnsi="Calibri" w:eastAsia="宋体" w:cs="Times New Roman"/>
              </w:rPr>
            </w:pPr>
          </w:p>
        </w:tc>
      </w:tr>
    </w:tbl>
    <w:p>
      <w:pPr>
        <w:rPr>
          <w:rFonts w:hint="eastAsia" w:ascii="宋体" w:hAnsi="宋体"/>
          <w:color w:val="auto"/>
          <w:sz w:val="21"/>
          <w:szCs w:val="21"/>
          <w:lang w:val="en-US" w:eastAsia="zh-CN"/>
        </w:rPr>
      </w:pPr>
    </w:p>
    <w:p>
      <w:pPr>
        <w:rPr>
          <w:rFonts w:hint="eastAsia" w:ascii="宋体" w:hAnsi="宋体"/>
          <w:color w:val="auto"/>
          <w:sz w:val="21"/>
          <w:szCs w:val="21"/>
          <w:lang w:val="en-US" w:eastAsia="zh-CN"/>
        </w:rPr>
      </w:pPr>
    </w:p>
    <w:p>
      <w:pPr>
        <w:pStyle w:val="2"/>
        <w:rPr>
          <w:rFonts w:hint="eastAsia" w:ascii="宋体" w:hAnsi="宋体"/>
          <w:color w:val="auto"/>
          <w:sz w:val="21"/>
          <w:szCs w:val="21"/>
          <w:lang w:val="en-US" w:eastAsia="zh-CN"/>
        </w:rPr>
      </w:pPr>
    </w:p>
    <w:p>
      <w:pPr>
        <w:pStyle w:val="3"/>
        <w:rPr>
          <w:rFonts w:hint="eastAsia"/>
          <w:lang w:val="en-US" w:eastAsia="zh-CN"/>
        </w:rPr>
      </w:pPr>
    </w:p>
    <w:p>
      <w:pPr>
        <w:rPr>
          <w:rFonts w:hint="eastAsia"/>
          <w:lang w:val="en-US" w:eastAsia="zh-CN"/>
        </w:rPr>
      </w:pPr>
      <w:r>
        <w:rPr>
          <w:rFonts w:hint="default" w:ascii="宋体" w:hAnsi="宋体"/>
          <w:color w:val="auto"/>
          <w:sz w:val="21"/>
          <w:szCs w:val="21"/>
          <w:lang w:val="en" w:eastAsia="zh-CN"/>
        </w:rPr>
        <w:t>部门：</w:t>
      </w:r>
      <w:r>
        <w:rPr>
          <w:rFonts w:hint="default" w:ascii="宋体" w:hAnsi="宋体"/>
          <w:color w:val="auto"/>
          <w:sz w:val="21"/>
          <w:szCs w:val="21"/>
          <w:u w:val="single"/>
          <w:lang w:val="en" w:eastAsia="zh-CN"/>
        </w:rPr>
        <w:t xml:space="preserve">              </w:t>
      </w:r>
      <w:r>
        <w:rPr>
          <w:rFonts w:hint="default" w:ascii="宋体" w:hAnsi="宋体"/>
          <w:color w:val="auto"/>
          <w:sz w:val="21"/>
          <w:szCs w:val="21"/>
          <w:u w:val="none"/>
          <w:lang w:val="en" w:eastAsia="zh-CN"/>
        </w:rPr>
        <w:t xml:space="preserve">      </w:t>
      </w:r>
      <w:r>
        <w:rPr>
          <w:rFonts w:hint="eastAsia" w:ascii="宋体" w:hAnsi="宋体"/>
          <w:color w:val="auto"/>
          <w:sz w:val="21"/>
          <w:szCs w:val="21"/>
          <w:u w:val="none"/>
          <w:lang w:val="en-US" w:eastAsia="zh-CN"/>
        </w:rPr>
        <w:t xml:space="preserve">  </w:t>
      </w:r>
      <w:r>
        <w:rPr>
          <w:rFonts w:hint="default" w:ascii="宋体" w:hAnsi="宋体"/>
          <w:color w:val="auto"/>
          <w:sz w:val="21"/>
          <w:szCs w:val="21"/>
          <w:u w:val="none"/>
          <w:lang w:val="en" w:eastAsia="zh-CN"/>
        </w:rPr>
        <w:t xml:space="preserve"> 评分人：</w:t>
      </w:r>
      <w:r>
        <w:rPr>
          <w:rFonts w:hint="default" w:ascii="宋体" w:hAnsi="宋体"/>
          <w:color w:val="auto"/>
          <w:sz w:val="21"/>
          <w:szCs w:val="21"/>
          <w:u w:val="single"/>
          <w:lang w:val="en" w:eastAsia="zh-CN"/>
        </w:rPr>
        <w:t xml:space="preserve">                </w:t>
      </w:r>
      <w:r>
        <w:rPr>
          <w:rFonts w:hint="default" w:ascii="宋体" w:hAnsi="宋体"/>
          <w:color w:val="auto"/>
          <w:sz w:val="21"/>
          <w:szCs w:val="21"/>
          <w:u w:val="none"/>
          <w:lang w:val="en" w:eastAsia="zh-CN"/>
        </w:rPr>
        <w:t xml:space="preserve">    </w:t>
      </w:r>
      <w:r>
        <w:rPr>
          <w:rFonts w:hint="eastAsia" w:ascii="宋体" w:hAnsi="宋体"/>
          <w:color w:val="auto"/>
          <w:sz w:val="21"/>
          <w:szCs w:val="21"/>
          <w:u w:val="none"/>
          <w:lang w:val="en-US" w:eastAsia="zh-CN"/>
        </w:rPr>
        <w:t xml:space="preserve"> </w:t>
      </w:r>
      <w:r>
        <w:rPr>
          <w:rFonts w:hint="default" w:ascii="宋体" w:hAnsi="宋体"/>
          <w:color w:val="auto"/>
          <w:sz w:val="21"/>
          <w:szCs w:val="21"/>
          <w:u w:val="none"/>
          <w:lang w:val="en" w:eastAsia="zh-CN"/>
        </w:rPr>
        <w:t xml:space="preserve"> </w:t>
      </w:r>
      <w:r>
        <w:rPr>
          <w:rFonts w:hint="eastAsia" w:ascii="宋体" w:hAnsi="宋体"/>
          <w:color w:val="auto"/>
          <w:sz w:val="21"/>
          <w:szCs w:val="21"/>
          <w:u w:val="none"/>
          <w:lang w:val="en-US" w:eastAsia="zh-CN"/>
        </w:rPr>
        <w:t xml:space="preserve"> </w:t>
      </w:r>
      <w:r>
        <w:rPr>
          <w:rFonts w:hint="default" w:ascii="宋体" w:hAnsi="宋体"/>
          <w:color w:val="auto"/>
          <w:sz w:val="21"/>
          <w:szCs w:val="21"/>
          <w:u w:val="none"/>
          <w:lang w:val="en" w:eastAsia="zh-CN"/>
        </w:rPr>
        <w:t>日期：</w:t>
      </w:r>
      <w:r>
        <w:rPr>
          <w:rFonts w:hint="default" w:ascii="宋体" w:hAnsi="宋体"/>
          <w:color w:val="auto"/>
          <w:sz w:val="21"/>
          <w:szCs w:val="21"/>
          <w:u w:val="single"/>
          <w:lang w:val="en" w:eastAsia="zh-CN"/>
        </w:rPr>
        <w:t xml:space="preserve">               </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Lucida Sans Unicode">
    <w:altName w:val="Noto Naskh Arabic"/>
    <w:panose1 w:val="020B0602030504020204"/>
    <w:charset w:val="00"/>
    <w:family w:val="auto"/>
    <w:pitch w:val="default"/>
    <w:sig w:usb0="00000000" w:usb1="00000000" w:usb2="00000000" w:usb3="00000000" w:csb0="200000BF" w:csb1="D7F70000"/>
  </w:font>
  <w:font w:name="Noto Naskh Arabic">
    <w:panose1 w:val="020B0502040504020204"/>
    <w:charset w:val="00"/>
    <w:family w:val="auto"/>
    <w:pitch w:val="default"/>
    <w:sig w:usb0="80002003" w:usb1="80002000" w:usb2="00000008" w:usb3="00000000" w:csb0="00000041" w:csb1="00080000"/>
  </w:font>
  <w:font w:name="汉仪中等线B5">
    <w:panose1 w:val="0101010401010101010B"/>
    <w:charset w:val="86"/>
    <w:family w:val="auto"/>
    <w:pitch w:val="default"/>
    <w:sig w:usb0="800000A3" w:usb1="00497878"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769"/>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OGA044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F22A8"/>
    <w:multiLevelType w:val="singleLevel"/>
    <w:tmpl w:val="FFBF22A8"/>
    <w:lvl w:ilvl="0" w:tentative="0">
      <w:start w:val="6"/>
      <w:numFmt w:val="chineseCounting"/>
      <w:suff w:val="nothing"/>
      <w:lvlText w:val="%1、"/>
      <w:lvlJc w:val="left"/>
      <w:rPr>
        <w:rFonts w:hint="eastAsia"/>
      </w:rPr>
    </w:lvl>
  </w:abstractNum>
  <w:abstractNum w:abstractNumId="1">
    <w:nsid w:val="7BA09D85"/>
    <w:multiLevelType w:val="singleLevel"/>
    <w:tmpl w:val="7BA09D8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hYmE3YjUxZmZmZjEwYmQ0NTUwYjMzNDQ2YmEwZDYifQ=="/>
  </w:docVars>
  <w:rsids>
    <w:rsidRoot w:val="4BC60872"/>
    <w:rsid w:val="01A30A26"/>
    <w:rsid w:val="041A7CB1"/>
    <w:rsid w:val="0FA14519"/>
    <w:rsid w:val="11AB26C9"/>
    <w:rsid w:val="1368682B"/>
    <w:rsid w:val="1CFFC901"/>
    <w:rsid w:val="1E2E4407"/>
    <w:rsid w:val="1F31252B"/>
    <w:rsid w:val="208822F8"/>
    <w:rsid w:val="247C0501"/>
    <w:rsid w:val="297F64BB"/>
    <w:rsid w:val="377F40FE"/>
    <w:rsid w:val="388F7659"/>
    <w:rsid w:val="38A9827F"/>
    <w:rsid w:val="3D3D73C9"/>
    <w:rsid w:val="3F670844"/>
    <w:rsid w:val="3FFBD1ED"/>
    <w:rsid w:val="4033589F"/>
    <w:rsid w:val="419C6F62"/>
    <w:rsid w:val="4BC60872"/>
    <w:rsid w:val="504D20B7"/>
    <w:rsid w:val="52300D36"/>
    <w:rsid w:val="58FD9A51"/>
    <w:rsid w:val="5D827247"/>
    <w:rsid w:val="67EA2A61"/>
    <w:rsid w:val="6A4E122B"/>
    <w:rsid w:val="6BDFD35D"/>
    <w:rsid w:val="73C81CE9"/>
    <w:rsid w:val="74F1A075"/>
    <w:rsid w:val="757654D4"/>
    <w:rsid w:val="77BDBFC3"/>
    <w:rsid w:val="784E0410"/>
    <w:rsid w:val="7C325F16"/>
    <w:rsid w:val="7D4BFDF5"/>
    <w:rsid w:val="7D542856"/>
    <w:rsid w:val="7EE5F8D5"/>
    <w:rsid w:val="83F567C5"/>
    <w:rsid w:val="ABF379A5"/>
    <w:rsid w:val="BFEF6AA7"/>
    <w:rsid w:val="DEFFA367"/>
    <w:rsid w:val="DFBB990C"/>
    <w:rsid w:val="E3FF5DF9"/>
    <w:rsid w:val="EFFE0143"/>
    <w:rsid w:val="F1BFF8F0"/>
    <w:rsid w:val="F3DF8533"/>
    <w:rsid w:val="FBBFEF89"/>
    <w:rsid w:val="FE5FDB57"/>
    <w:rsid w:val="FF6F0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link w:val="13"/>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link w:val="15"/>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styleId="3">
    <w:name w:val="toc 5"/>
    <w:basedOn w:val="1"/>
    <w:next w:val="1"/>
    <w:qFormat/>
    <w:uiPriority w:val="0"/>
    <w:pPr>
      <w:ind w:left="840"/>
      <w:jc w:val="left"/>
    </w:pPr>
    <w:rPr>
      <w:rFonts w:ascii="Calibri" w:hAnsi="Calibri" w:cs="Calibri"/>
      <w:sz w:val="18"/>
      <w:szCs w:val="18"/>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rFonts w:ascii="Times New Roman" w:hAnsi="Times New Roman" w:cs="Times New Roman"/>
      <w:kern w:val="0"/>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2 Char"/>
    <w:link w:val="5"/>
    <w:qFormat/>
    <w:uiPriority w:val="0"/>
    <w:rPr>
      <w:rFonts w:ascii="Arial" w:hAnsi="Arial" w:eastAsia="黑体"/>
      <w:b/>
      <w:sz w:val="32"/>
    </w:rPr>
  </w:style>
  <w:style w:type="paragraph" w:customStyle="1" w:styleId="14">
    <w:name w:val="null3"/>
    <w:hidden/>
    <w:qFormat/>
    <w:uiPriority w:val="0"/>
    <w:rPr>
      <w:rFonts w:hint="eastAsia" w:asciiTheme="minorHAnsi" w:hAnsiTheme="minorHAnsi" w:eastAsiaTheme="minorEastAsia" w:cstheme="minorBidi"/>
      <w:lang w:val="en-US" w:eastAsia="zh-Hans"/>
    </w:rPr>
  </w:style>
  <w:style w:type="character" w:customStyle="1" w:styleId="15">
    <w:name w:val="标题 3 Char"/>
    <w:link w:val="6"/>
    <w:qFormat/>
    <w:uiPriority w:val="0"/>
    <w:rPr>
      <w:b/>
      <w:sz w:val="32"/>
    </w:rPr>
  </w:style>
  <w:style w:type="paragraph" w:styleId="16">
    <w:name w:val="No Spacing"/>
    <w:qFormat/>
    <w:uiPriority w:val="0"/>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17703</Words>
  <Characters>18485</Characters>
  <Lines>0</Lines>
  <Paragraphs>0</Paragraphs>
  <TotalTime>0</TotalTime>
  <ScaleCrop>false</ScaleCrop>
  <LinksUpToDate>false</LinksUpToDate>
  <CharactersWithSpaces>18593</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2024-10-17T01:13:00Z</dcterms:created>
  <dc:creator>Administrator</dc:creator>
  <cp:lastModifiedBy>user</cp:lastModifiedBy>
  <cp:lastPrinted>2024-11-10T18:58:00Z</cp:lastPrinted>
  <dcterms:modified xsi:type="dcterms:W3CDTF">2025-01-16T11:58:03Z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6E403CED630046618360CD06EAF206F0</vt:lpwstr>
  </property>
</Properties>
</file>