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442000105-2025-00016</w:t>
      </w:r>
    </w:p>
    <w:p>
      <w:pPr>
        <w:pStyle w:val="null3"/>
        <w:jc w:val="center"/>
        <w:outlineLvl w:val="3"/>
      </w:pPr>
      <w:r>
        <w:rPr>
          <w:sz w:val="24"/>
          <w:b/>
        </w:rPr>
        <w:t>采购项目编号：</w:t>
      </w:r>
      <w:r>
        <w:rPr>
          <w:sz w:val="24"/>
          <w:b/>
        </w:rPr>
        <w:t>BZCG20250206C03</w:t>
      </w:r>
    </w:p>
    <w:p>
      <w:pPr>
        <w:pStyle w:val="null3"/>
        <w:jc w:val="center"/>
        <w:outlineLvl w:val="3"/>
      </w:pPr>
      <w:r>
        <w:rPr>
          <w:sz w:val="24"/>
          <w:b/>
        </w:rPr>
        <w:t>项目名称：</w:t>
      </w:r>
      <w:r>
        <w:rPr>
          <w:sz w:val="24"/>
          <w:b/>
        </w:rPr>
        <w:t>中山市古镇镇市政路灯改造项目(二次)</w:t>
      </w:r>
    </w:p>
    <w:p>
      <w:pPr>
        <w:pStyle w:val="null3"/>
        <w:jc w:val="center"/>
        <w:outlineLvl w:val="3"/>
      </w:pPr>
      <w:r>
        <w:rPr>
          <w:sz w:val="24"/>
          <w:b/>
        </w:rPr>
        <w:t>采购人：</w:t>
      </w:r>
      <w:r>
        <w:rPr>
          <w:sz w:val="24"/>
          <w:b/>
        </w:rPr>
        <w:t>中山市古镇镇综合行政执法局</w:t>
      </w:r>
    </w:p>
    <w:p>
      <w:pPr>
        <w:pStyle w:val="null3"/>
        <w:jc w:val="center"/>
        <w:outlineLvl w:val="3"/>
      </w:pPr>
      <w:r>
        <w:rPr>
          <w:sz w:val="24"/>
          <w:b/>
        </w:rPr>
        <w:t>采购代理机构：</w:t>
      </w:r>
      <w:r>
        <w:rPr>
          <w:sz w:val="24"/>
          <w:b/>
        </w:rPr>
        <w:t>博众工程咨询有限公司中山分公司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博众工程咨询有限公司中山分公司</w:t>
      </w:r>
      <w:r>
        <w:rPr/>
        <w:t>受</w:t>
      </w:r>
      <w:r>
        <w:rPr/>
        <w:t>中山市古镇镇综合行政执法局</w:t>
      </w:r>
      <w:r>
        <w:rPr/>
        <w:t>的委托，采用</w:t>
      </w:r>
      <w:r>
        <w:rPr/>
        <w:t>公开招标</w:t>
      </w:r>
      <w:r>
        <w:rPr/>
        <w:t>方式组织采购</w:t>
      </w:r>
      <w:r>
        <w:rPr/>
        <w:t>中山市古镇镇市政路灯改造项目(二次)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中山市古镇镇市政路灯改造项目(二次)</w:t>
      </w:r>
    </w:p>
    <w:p>
      <w:pPr>
        <w:pStyle w:val="null3"/>
        <w:ind w:firstLine="480"/>
      </w:pPr>
      <w:r>
        <w:rPr/>
        <w:t>采购计划编号：</w:t>
      </w:r>
      <w:r>
        <w:rPr/>
        <w:t>442000105-2025-00016</w:t>
      </w:r>
    </w:p>
    <w:p>
      <w:pPr>
        <w:pStyle w:val="null3"/>
        <w:ind w:firstLine="480"/>
      </w:pPr>
      <w:r>
        <w:rPr/>
        <w:t>采购项目编号：</w:t>
      </w:r>
      <w:r>
        <w:rPr/>
        <w:t>BZCG20250206C03</w:t>
      </w:r>
    </w:p>
    <w:p>
      <w:pPr>
        <w:pStyle w:val="null3"/>
        <w:ind w:firstLine="480"/>
      </w:pPr>
      <w:r>
        <w:rPr/>
        <w:t>采购方式：</w:t>
      </w:r>
      <w:r>
        <w:rPr/>
        <w:t>公开招标</w:t>
      </w:r>
    </w:p>
    <w:p>
      <w:pPr>
        <w:pStyle w:val="null3"/>
        <w:ind w:firstLine="480"/>
      </w:pPr>
      <w:r>
        <w:rPr/>
        <w:t>预算金额：</w:t>
      </w:r>
      <w:r>
        <w:rPr/>
        <w:t>42,318,000.00</w:t>
      </w:r>
      <w:r>
        <w:rPr/>
        <w:t>元</w:t>
      </w:r>
    </w:p>
    <w:p>
      <w:pPr>
        <w:pStyle w:val="null3"/>
        <w:outlineLvl w:val="3"/>
      </w:pPr>
      <w:r>
        <w:rPr>
          <w:sz w:val="24"/>
          <w:b/>
        </w:rPr>
        <w:t>2.项目内容及需求情况（采购项目技术规格、参数及要求）</w:t>
      </w:r>
    </w:p>
    <w:p>
      <w:pPr>
        <w:pStyle w:val="null3"/>
      </w:pPr>
      <w:r>
        <w:rPr/>
        <w:t>采购包1(中山市古镇镇市政路灯改造项目(二次)):</w:t>
      </w:r>
    </w:p>
    <w:p>
      <w:pPr>
        <w:pStyle w:val="null3"/>
      </w:pPr>
      <w:r>
        <w:rPr/>
        <w:t>采购包预算金额：42,318,000.00元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合同能源管理服务</w:t>
            </w:r>
          </w:p>
        </w:tc>
        <w:tc>
          <w:tcPr>
            <w:tcW w:type="dxa" w:w="2052"/>
          </w:tcPr>
          <w:p>
            <w:pPr>
              <w:pStyle w:val="null3"/>
            </w:pPr>
            <w:r>
              <w:rPr/>
              <w:t>中山市古镇镇市政路灯改造项目(二次)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42,318,000.00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合同履行期限：项目托管期限10年（含项目建设工期2.5个月）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副本复印件。分支机构投标的，须提供总公司和分公司营业执照副本复印件，总公司出具给分支机构的授权书。（如联合体投标，联合体各方均需要提供）</w:t>
      </w:r>
    </w:p>
    <w:p>
      <w:pPr>
        <w:pStyle w:val="null3"/>
      </w:pPr>
      <w:r>
        <w:rPr/>
        <w:t>2）有依法缴纳税收和社会保障资金的良好记录：提供《政府采购供应商资格信用承诺函》(格式详见公告附件)或提供近12个月内任意1个月依法缴纳税收和社会保障资金的缴费凭证等相关材料；如依法免税或不需要缴纳社会保障资金的，提供相应证明材料。若投标人同时提供承诺函和证明材料的，资格审查时以证明材料为准。（如联合体投标，联合体各方均需要提供）</w:t>
      </w:r>
    </w:p>
    <w:p>
      <w:pPr>
        <w:pStyle w:val="null3"/>
      </w:pPr>
      <w:r>
        <w:rPr/>
        <w:t>3）具有良好的商业信誉和健全的财务会计制度：提供《政府采购供应商资格信用承诺函》(格式详见公告附件)或提供2023年度财务报告或近12个月内任意1个月编制的财务报表或基本开户行出具的资信证明或政府采购专业担保机构出具的投标担保函。若投标人同时提供承诺函和证明材料的，资格审查时以证明材料为准。（如联合体投标，联合体各方均需要提供）</w:t>
      </w:r>
    </w:p>
    <w:p>
      <w:pPr>
        <w:pStyle w:val="null3"/>
      </w:pPr>
      <w:r>
        <w:rPr/>
        <w:t>4）履行合同所必需的设备和专业技术能力：提供《政府采购供应商资格信用承诺函》(格式详见公告附件)或提供“具有履行合同所必需的设备和专业技术能力”的声明或承诺，或提供“具有设备和专业技术能力（人员）”的相关证明资料，或提供《设备和专业技术能力（人员）情况表》（格式自拟）。（如联合体投标，联合体各方均需要提供）</w:t>
      </w:r>
    </w:p>
    <w:p>
      <w:pPr>
        <w:pStyle w:val="null3"/>
      </w:pPr>
      <w:r>
        <w:rPr/>
        <w:t>5）参加采购活动前3年内，在经营活动中没有重大违法记录：提供《政府采购供应商资格信用承诺函》(格式详见公告附件)或参照投标函相关承诺格式内容。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均需要提供）</w:t>
      </w:r>
    </w:p>
    <w:p>
      <w:pPr>
        <w:pStyle w:val="null3"/>
        <w:outlineLvl w:val="3"/>
      </w:pPr>
      <w:r>
        <w:rPr>
          <w:sz w:val="24"/>
          <w:b/>
        </w:rPr>
        <w:t>2.落实政府采购政策需满足的资格要求：</w:t>
      </w:r>
    </w:p>
    <w:p>
      <w:pPr>
        <w:pStyle w:val="null3"/>
        <w:jc w:val="left"/>
      </w:pPr>
      <w:r>
        <w:rPr/>
        <w:t>采购包1（中山市古镇镇市政路灯改造项目(二次)）：</w:t>
      </w:r>
      <w:r>
        <w:rPr/>
        <w:t>本项目不属于专门面向中小企业采购的项目。</w:t>
      </w:r>
    </w:p>
    <w:p>
      <w:pPr>
        <w:pStyle w:val="null3"/>
        <w:outlineLvl w:val="3"/>
      </w:pPr>
      <w:r>
        <w:rPr>
          <w:sz w:val="24"/>
          <w:b/>
        </w:rPr>
        <w:t>3.本项目特定的资格要求：</w:t>
      </w:r>
    </w:p>
    <w:p>
      <w:pPr>
        <w:pStyle w:val="null3"/>
      </w:pPr>
      <w:r>
        <w:rPr/>
        <w:t>采购包1（中山市古镇镇市政路灯改造项目(二次)）：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如联合体投标，联合体各方均需要满足）</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投标函相关承诺要求内容。（如联合体投标，联合体各方均需要提供）</w:t>
      </w:r>
    </w:p>
    <w:p>
      <w:pPr>
        <w:pStyle w:val="null3"/>
      </w:pPr>
      <w:r>
        <w:rPr/>
        <w:t>3)投标人须具备建设行政主管部门核发的城市及道路照明工程专业承包叁级及以上资质（含叁级资质）并持有有效的安全生产许可证。（如联合体投标，联合体任意一方提供均可）</w:t>
      </w:r>
    </w:p>
    <w:p>
      <w:pPr>
        <w:pStyle w:val="null3"/>
      </w:pPr>
      <w:r>
        <w:rPr/>
        <w:t>4)本采购包接受联合体投标，投标人以联合体的形式进行投标的，联合体所有成员（含联合体牵头单位）数量不得超过2个，同时须提交联合体共同投标协议书，明确联合体牵头单位及各方承担的工作和义务，且联合体各方不得再以自己名义单独或参加其他联合体在本项目中投标。 （联合体投标的投标人须提交双方共同签署的《联合体共同投标协议书》原件扫描件）。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中山市古镇镇综合行政执法局</w:t>
      </w:r>
    </w:p>
    <w:p>
      <w:pPr>
        <w:pStyle w:val="null3"/>
        <w:ind w:firstLine="480"/>
      </w:pPr>
      <w:r>
        <w:rPr/>
        <w:t xml:space="preserve"> 地址：</w:t>
      </w:r>
      <w:r>
        <w:rPr/>
        <w:t>广东省中山市古镇镇东兴东路３号行政服务中心３号楼5-6层</w:t>
      </w:r>
    </w:p>
    <w:p>
      <w:pPr>
        <w:pStyle w:val="null3"/>
        <w:ind w:firstLine="480"/>
      </w:pPr>
      <w:r>
        <w:rPr/>
        <w:t xml:space="preserve"> 联系方式：</w:t>
      </w:r>
      <w:r>
        <w:rPr/>
        <w:t>0760-22353557</w:t>
      </w:r>
    </w:p>
    <w:p>
      <w:pPr>
        <w:pStyle w:val="null3"/>
        <w:outlineLvl w:val="3"/>
      </w:pPr>
      <w:r>
        <w:rPr>
          <w:sz w:val="24"/>
          <w:b/>
        </w:rPr>
        <w:t xml:space="preserve"> 2.采购代理机构信息</w:t>
      </w:r>
    </w:p>
    <w:p>
      <w:pPr>
        <w:pStyle w:val="null3"/>
        <w:ind w:firstLine="480"/>
      </w:pPr>
      <w:r>
        <w:rPr/>
        <w:t xml:space="preserve"> 名称：</w:t>
      </w:r>
      <w:r>
        <w:rPr/>
        <w:t>博众工程咨询有限公司中山分公司</w:t>
      </w:r>
    </w:p>
    <w:p>
      <w:pPr>
        <w:pStyle w:val="null3"/>
        <w:ind w:firstLine="480"/>
      </w:pPr>
      <w:r>
        <w:rPr/>
        <w:t xml:space="preserve"> 地址：</w:t>
      </w:r>
      <w:r>
        <w:rPr/>
        <w:t>中山市石岐街道海景路6号A栋首层2卡</w:t>
      </w:r>
    </w:p>
    <w:p>
      <w:pPr>
        <w:pStyle w:val="null3"/>
        <w:ind w:firstLine="480"/>
      </w:pPr>
      <w:r>
        <w:rPr/>
        <w:t xml:space="preserve"> 联系方式：</w:t>
      </w:r>
      <w:r>
        <w:rPr/>
        <w:t>18024227510</w:t>
      </w:r>
    </w:p>
    <w:p>
      <w:pPr>
        <w:pStyle w:val="null3"/>
        <w:outlineLvl w:val="3"/>
      </w:pPr>
      <w:r>
        <w:rPr>
          <w:sz w:val="24"/>
          <w:b/>
        </w:rPr>
        <w:t xml:space="preserve"> 3.项目联系方式</w:t>
      </w:r>
    </w:p>
    <w:p>
      <w:pPr>
        <w:pStyle w:val="null3"/>
        <w:ind w:firstLine="480"/>
      </w:pPr>
      <w:r>
        <w:rPr/>
        <w:t xml:space="preserve"> 项目联系人：</w:t>
      </w:r>
      <w:r>
        <w:rPr/>
        <w:t>龙苏才、宋健</w:t>
      </w:r>
    </w:p>
    <w:p>
      <w:pPr>
        <w:pStyle w:val="null3"/>
        <w:ind w:firstLine="480"/>
      </w:pPr>
      <w:r>
        <w:rPr/>
        <w:t xml:space="preserve"> 电话：</w:t>
      </w:r>
      <w:r>
        <w:rPr/>
        <w:t>18024227510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博众工程咨询有限公司中山分公司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 xml:space="preserve">      1</w:t>
      </w:r>
      <w:r>
        <w:rPr>
          <w:sz w:val="20"/>
        </w:rPr>
        <w:t>、项目名称：</w:t>
      </w:r>
      <w:r>
        <w:rPr>
          <w:sz w:val="20"/>
        </w:rPr>
        <w:t>中山市古镇镇市政路灯改造项目</w:t>
      </w:r>
      <w:r>
        <w:rPr>
          <w:sz w:val="20"/>
        </w:rPr>
        <w:t>(</w:t>
      </w:r>
      <w:r>
        <w:rPr>
          <w:sz w:val="20"/>
        </w:rPr>
        <w:t>二次</w:t>
      </w:r>
      <w:r>
        <w:rPr>
          <w:sz w:val="20"/>
        </w:rPr>
        <w:t>)</w:t>
      </w:r>
    </w:p>
    <w:p>
      <w:pPr>
        <w:pStyle w:val="null3"/>
        <w:spacing w:before="45"/>
        <w:ind w:firstLine="392"/>
        <w:jc w:val="both"/>
      </w:pPr>
      <w:r>
        <w:rPr>
          <w:sz w:val="20"/>
        </w:rPr>
        <w:t>2</w:t>
      </w:r>
      <w:r>
        <w:rPr>
          <w:sz w:val="20"/>
        </w:rPr>
        <w:t>、建设地点：中山市古镇镇全镇区市政道路</w:t>
      </w:r>
    </w:p>
    <w:p>
      <w:pPr>
        <w:pStyle w:val="null3"/>
        <w:spacing w:before="45"/>
        <w:ind w:firstLine="392"/>
        <w:jc w:val="both"/>
      </w:pPr>
      <w:r>
        <w:rPr>
          <w:sz w:val="20"/>
        </w:rPr>
        <w:t>3</w:t>
      </w:r>
      <w:r>
        <w:rPr>
          <w:sz w:val="20"/>
        </w:rPr>
        <w:t>、采购内容：</w:t>
      </w:r>
    </w:p>
    <w:p>
      <w:pPr>
        <w:pStyle w:val="null3"/>
        <w:spacing w:before="45"/>
        <w:ind w:firstLine="392"/>
        <w:jc w:val="both"/>
      </w:pPr>
      <w:r>
        <w:rPr>
          <w:sz w:val="20"/>
        </w:rPr>
        <w:t>本项目采用</w:t>
      </w:r>
      <w:r>
        <w:rPr>
          <w:sz w:val="20"/>
        </w:rPr>
        <w:t>“能源托管”模式就古镇镇市政路灯改造项目进行专项服务，在项目托管期内，对中山市古镇镇全镇区市政道路路灯进行节能改造和运营维护。中标人负责项目的建设、运营、维修、管养管理一体、电费缴纳等工作，招标人按照合同约定，根据考核结果，分期支付相应的费用。中标人通过提高能源效率降低能源费用，并按照合同约定拥有节约的部分能源费用。</w:t>
      </w:r>
    </w:p>
    <w:p>
      <w:pPr>
        <w:pStyle w:val="null3"/>
        <w:spacing w:before="45"/>
        <w:ind w:firstLine="392"/>
        <w:jc w:val="both"/>
      </w:pPr>
      <w:r>
        <w:rPr>
          <w:sz w:val="20"/>
        </w:rPr>
        <w:t>项目托管范围包括：中山市古镇镇全镇区市政道路路灯节能改造，以及路灯系统的运行管理、维修维护等。</w:t>
      </w:r>
    </w:p>
    <w:p>
      <w:pPr>
        <w:pStyle w:val="null3"/>
        <w:ind w:firstLine="392"/>
        <w:jc w:val="left"/>
      </w:pPr>
      <w:r>
        <w:rPr>
          <w:sz w:val="20"/>
        </w:rPr>
        <w:t>4</w:t>
      </w:r>
      <w:r>
        <w:rPr>
          <w:sz w:val="20"/>
        </w:rPr>
        <w:t>、采购预算：</w:t>
      </w:r>
      <w:r>
        <w:rPr>
          <w:sz w:val="20"/>
        </w:rPr>
        <w:t>4,231,800.00</w:t>
      </w:r>
      <w:r>
        <w:rPr>
          <w:sz w:val="20"/>
        </w:rPr>
        <w:t>元</w:t>
      </w:r>
      <w:r>
        <w:rPr>
          <w:sz w:val="20"/>
        </w:rPr>
        <w:t>/</w:t>
      </w:r>
      <w:r>
        <w:rPr>
          <w:sz w:val="20"/>
        </w:rPr>
        <w:t>年，服务年限</w:t>
      </w:r>
      <w:r>
        <w:rPr>
          <w:sz w:val="20"/>
        </w:rPr>
        <w:t>10</w:t>
      </w:r>
      <w:r>
        <w:rPr>
          <w:sz w:val="20"/>
        </w:rPr>
        <w:t>年，合计</w:t>
      </w:r>
      <w:r>
        <w:rPr>
          <w:sz w:val="20"/>
        </w:rPr>
        <w:t>42,318,000.00</w:t>
      </w:r>
      <w:r>
        <w:rPr>
          <w:sz w:val="20"/>
        </w:rPr>
        <w:t>元。</w:t>
      </w:r>
    </w:p>
    <w:p>
      <w:pPr>
        <w:pStyle w:val="null3"/>
        <w:spacing w:before="45"/>
        <w:ind w:firstLine="392"/>
        <w:jc w:val="both"/>
      </w:pPr>
      <w:r>
        <w:rPr>
          <w:sz w:val="20"/>
        </w:rPr>
        <w:t>5</w:t>
      </w:r>
      <w:r>
        <w:rPr>
          <w:sz w:val="20"/>
        </w:rPr>
        <w:t>、合同履行期限：项目托管期限</w:t>
      </w:r>
      <w:r>
        <w:rPr>
          <w:sz w:val="20"/>
        </w:rPr>
        <w:t>10</w:t>
      </w:r>
      <w:r>
        <w:rPr>
          <w:sz w:val="20"/>
        </w:rPr>
        <w:t>年（含项目建设工期</w:t>
      </w:r>
      <w:r>
        <w:rPr>
          <w:sz w:val="20"/>
        </w:rPr>
        <w:t>2.5</w:t>
      </w:r>
      <w:r>
        <w:rPr>
          <w:sz w:val="20"/>
        </w:rPr>
        <w:t>个月）。年限按照“</w:t>
      </w:r>
      <w:r>
        <w:rPr>
          <w:sz w:val="20"/>
        </w:rPr>
        <w:t>6+4</w:t>
      </w:r>
      <w:r>
        <w:rPr>
          <w:sz w:val="20"/>
        </w:rPr>
        <w:t>”实施运营建设，第一期运营年限为</w:t>
      </w:r>
      <w:r>
        <w:rPr>
          <w:sz w:val="20"/>
        </w:rPr>
        <w:t>6</w:t>
      </w:r>
      <w:r>
        <w:rPr>
          <w:sz w:val="20"/>
        </w:rPr>
        <w:t>年，</w:t>
      </w:r>
      <w:r>
        <w:rPr>
          <w:sz w:val="20"/>
        </w:rPr>
        <w:t>6</w:t>
      </w:r>
      <w:r>
        <w:rPr>
          <w:sz w:val="20"/>
        </w:rPr>
        <w:t>年后根据项目运营情况</w:t>
      </w:r>
      <w:r>
        <w:rPr>
          <w:sz w:val="20"/>
        </w:rPr>
        <w:t>,</w:t>
      </w:r>
      <w:r>
        <w:rPr>
          <w:sz w:val="20"/>
        </w:rPr>
        <w:t>确定是否续签。运营维护期满后无条件将所有改造后（含新建）的路灯及控制中心所有权归还移交政府，归还移交之日起计算</w:t>
      </w:r>
      <w:r>
        <w:rPr>
          <w:sz w:val="20"/>
        </w:rPr>
        <w:t>1</w:t>
      </w:r>
      <w:r>
        <w:rPr>
          <w:sz w:val="20"/>
        </w:rPr>
        <w:t>年质保期，</w:t>
      </w:r>
      <w:r>
        <w:rPr>
          <w:sz w:val="20"/>
        </w:rPr>
        <w:t>1</w:t>
      </w:r>
      <w:r>
        <w:rPr>
          <w:sz w:val="20"/>
        </w:rPr>
        <w:t>年质保期内改造的产品存在质量问题，产生的费用由运营单位负责。运营单位负责归还移交后智慧化管理系统</w:t>
      </w:r>
      <w:r>
        <w:rPr>
          <w:sz w:val="20"/>
        </w:rPr>
        <w:t>2</w:t>
      </w:r>
      <w:r>
        <w:rPr>
          <w:sz w:val="20"/>
        </w:rPr>
        <w:t>年免费升级和维护。运营维护期内亮灯时间为平均每天亮灯不得小于</w:t>
      </w:r>
      <w:r>
        <w:rPr>
          <w:sz w:val="20"/>
        </w:rPr>
        <w:t>11.54</w:t>
      </w:r>
      <w:r>
        <w:rPr>
          <w:sz w:val="20"/>
        </w:rPr>
        <w:t>小时。</w:t>
      </w:r>
    </w:p>
    <w:p>
      <w:pPr>
        <w:pStyle w:val="null3"/>
        <w:spacing w:before="45"/>
        <w:ind w:firstLine="392"/>
        <w:jc w:val="both"/>
      </w:pPr>
      <w:r>
        <w:rPr>
          <w:sz w:val="20"/>
        </w:rPr>
        <w:t>6</w:t>
      </w:r>
      <w:r>
        <w:rPr>
          <w:sz w:val="20"/>
        </w:rPr>
        <w:t>、报价方式：按照招标文件公布的最高限价结合各投标人自身情况进行报价，报价必须涵盖城市照明设施节能改造及采购、运输、卸货、安装、调试及管理、现场检验、第三方检测、人员培训及售后服务、招标代理费、备品备件提供、技术支持、维修服务等，直至达到正常使用要求，最终提供一套满足运营条件且配备完善的系统设备，改造后路面照度应达到《城市道路照明设计标准》（</w:t>
      </w:r>
      <w:r>
        <w:rPr>
          <w:sz w:val="20"/>
        </w:rPr>
        <w:t>CJJ45-2015</w:t>
      </w:r>
      <w:r>
        <w:rPr>
          <w:sz w:val="20"/>
        </w:rPr>
        <w:t>）且满足《古镇节能改造产品技术参数》的要求，其他相关连接系统设备之间的所有设施设备均包含在本次采购范围内。所有路灯采购、改造、安装、其他设备改造、服务、管理、合同期内备品备件免费提供、单灯控制器网络资费等所有工作内容在投资回报期内的费用，由中标单位承担。中标单位投入的所有费用从每年节约电费作为本项目改造投资及运营回报。不允许拆分报价，如出现漏项情况，由投标单位自行承担。</w:t>
      </w:r>
    </w:p>
    <w:p>
      <w:pPr>
        <w:pStyle w:val="null3"/>
        <w:jc w:val="both"/>
      </w:pPr>
      <w:r>
        <w:rPr>
          <w:sz w:val="20"/>
          <w:b/>
        </w:rPr>
        <w:t>二、项目背景</w:t>
      </w:r>
    </w:p>
    <w:p>
      <w:pPr>
        <w:pStyle w:val="null3"/>
        <w:spacing w:before="45"/>
        <w:ind w:firstLine="392"/>
        <w:jc w:val="both"/>
      </w:pPr>
      <w:r>
        <w:rPr>
          <w:sz w:val="20"/>
        </w:rPr>
        <w:t>随着中山市经济的迅速发展，城区面积不断扩大，城市道路网络逐步形成，但城市道路配套照明设施建设相对滞后。由于这些道路基本都位于城市中心，随着城市的发展，人流量与车流量日渐增大，非常不利于道路交通安全和社会治安。</w:t>
      </w:r>
    </w:p>
    <w:p>
      <w:pPr>
        <w:pStyle w:val="null3"/>
        <w:spacing w:before="45"/>
        <w:ind w:firstLine="392"/>
        <w:jc w:val="both"/>
      </w:pPr>
      <w:r>
        <w:rPr>
          <w:sz w:val="20"/>
        </w:rPr>
        <w:t>目前，古镇镇路面上大多使用的是</w:t>
      </w:r>
      <w:r>
        <w:rPr>
          <w:sz w:val="20"/>
        </w:rPr>
        <w:t>LED</w:t>
      </w:r>
      <w:r>
        <w:rPr>
          <w:sz w:val="20"/>
        </w:rPr>
        <w:t>路灯占比</w:t>
      </w:r>
      <w:r>
        <w:rPr>
          <w:sz w:val="20"/>
        </w:rPr>
        <w:t>90%</w:t>
      </w:r>
      <w:r>
        <w:rPr>
          <w:sz w:val="20"/>
        </w:rPr>
        <w:t>以上，主要建设于</w:t>
      </w:r>
      <w:r>
        <w:rPr>
          <w:sz w:val="20"/>
        </w:rPr>
        <w:t>2014</w:t>
      </w:r>
      <w:r>
        <w:rPr>
          <w:sz w:val="20"/>
        </w:rPr>
        <w:t>年前后，至今运行时间长达</w:t>
      </w:r>
      <w:r>
        <w:rPr>
          <w:sz w:val="20"/>
        </w:rPr>
        <w:t>10</w:t>
      </w:r>
      <w:r>
        <w:rPr>
          <w:sz w:val="20"/>
        </w:rPr>
        <w:t>多年，远超灯具寿命，能耗高、维护难，且设备无智能化管控，日常管养依赖大量人工，基层工作压力巨大。不少路段道路照明质量未达到国家相关标准，照明状况已经不能满足城市高质量发展及居民日常安全出行的需要。</w:t>
      </w:r>
    </w:p>
    <w:p>
      <w:pPr>
        <w:pStyle w:val="null3"/>
        <w:spacing w:before="45"/>
        <w:ind w:firstLine="392"/>
        <w:jc w:val="both"/>
      </w:pPr>
      <w:r>
        <w:rPr>
          <w:sz w:val="20"/>
        </w:rPr>
        <w:t>现拟将古镇镇区现有路灯</w:t>
      </w:r>
      <w:r>
        <w:rPr>
          <w:sz w:val="20"/>
        </w:rPr>
        <w:t>6344</w:t>
      </w:r>
      <w:r>
        <w:rPr>
          <w:sz w:val="20"/>
        </w:rPr>
        <w:t>支（</w:t>
      </w:r>
      <w:r>
        <w:rPr>
          <w:sz w:val="20"/>
        </w:rPr>
        <w:t>10218</w:t>
      </w:r>
      <w:r>
        <w:rPr>
          <w:sz w:val="20"/>
        </w:rPr>
        <w:t>头）、镇属湿地公园庭院灯</w:t>
      </w:r>
      <w:r>
        <w:rPr>
          <w:sz w:val="20"/>
        </w:rPr>
        <w:t>235</w:t>
      </w:r>
      <w:r>
        <w:rPr>
          <w:sz w:val="20"/>
        </w:rPr>
        <w:t>支</w:t>
      </w:r>
      <w:r>
        <w:rPr>
          <w:sz w:val="20"/>
        </w:rPr>
        <w:t>、</w:t>
      </w:r>
      <w:r>
        <w:rPr>
          <w:sz w:val="20"/>
        </w:rPr>
        <w:t>文化公园路灯</w:t>
      </w:r>
      <w:r>
        <w:rPr>
          <w:sz w:val="20"/>
        </w:rPr>
        <w:t>166</w:t>
      </w:r>
      <w:r>
        <w:rPr>
          <w:sz w:val="20"/>
        </w:rPr>
        <w:t>支</w:t>
      </w:r>
      <w:r>
        <w:rPr>
          <w:sz w:val="20"/>
        </w:rPr>
        <w:t>路灯进行节能升级改造，通过公开招标方式选取专业化中标人，与中标人签订一定期限的能源托管服务合同，对本项目范围内需要提升的内容进行升级改造。托管期内中标人负责项目的建设、运营、维修、管养管理一体、电费缴纳等工作。合作期满后，中标人将本项目设施无偿、完好一并移交回采购人或政府指定部门。</w:t>
      </w:r>
    </w:p>
    <w:p>
      <w:pPr>
        <w:pStyle w:val="null3"/>
        <w:jc w:val="both"/>
      </w:pPr>
      <w:r>
        <w:rPr>
          <w:sz w:val="20"/>
          <w:b/>
        </w:rPr>
        <w:t>三、</w:t>
      </w:r>
      <w:r>
        <w:rPr>
          <w:sz w:val="21"/>
          <w:b/>
        </w:rPr>
        <w:t>改造内容</w:t>
      </w:r>
    </w:p>
    <w:p>
      <w:pPr>
        <w:pStyle w:val="null3"/>
        <w:spacing w:before="105"/>
        <w:ind w:firstLine="392"/>
        <w:jc w:val="both"/>
      </w:pPr>
      <w:r>
        <w:rPr>
          <w:sz w:val="20"/>
        </w:rPr>
        <w:t>对古镇镇市政道路</w:t>
      </w:r>
      <w:r>
        <w:rPr>
          <w:sz w:val="20"/>
        </w:rPr>
        <w:t>6344</w:t>
      </w:r>
      <w:r>
        <w:rPr>
          <w:sz w:val="20"/>
        </w:rPr>
        <w:t>支（</w:t>
      </w:r>
      <w:r>
        <w:rPr>
          <w:sz w:val="20"/>
        </w:rPr>
        <w:t>10218</w:t>
      </w:r>
      <w:r>
        <w:rPr>
          <w:sz w:val="20"/>
        </w:rPr>
        <w:t>头）老旧路灯、镇属湿地公园庭院灯</w:t>
      </w:r>
      <w:r>
        <w:rPr>
          <w:sz w:val="20"/>
        </w:rPr>
        <w:t>235</w:t>
      </w:r>
      <w:r>
        <w:rPr>
          <w:sz w:val="20"/>
        </w:rPr>
        <w:t>支</w:t>
      </w:r>
      <w:r>
        <w:rPr>
          <w:sz w:val="20"/>
        </w:rPr>
        <w:t>、</w:t>
      </w:r>
      <w:r>
        <w:rPr>
          <w:sz w:val="20"/>
        </w:rPr>
        <w:t>文化公园路灯</w:t>
      </w:r>
      <w:r>
        <w:rPr>
          <w:sz w:val="20"/>
        </w:rPr>
        <w:t>166</w:t>
      </w:r>
      <w:r>
        <w:rPr>
          <w:sz w:val="20"/>
        </w:rPr>
        <w:t>支</w:t>
      </w:r>
      <w:r>
        <w:rPr>
          <w:sz w:val="20"/>
        </w:rPr>
        <w:t>，采用更高效的</w:t>
      </w:r>
      <w:r>
        <w:rPr>
          <w:sz w:val="20"/>
        </w:rPr>
        <w:t>4G</w:t>
      </w:r>
      <w:r>
        <w:rPr>
          <w:sz w:val="20"/>
        </w:rPr>
        <w:t>物联智慧路灯升级改造，并加装</w:t>
      </w:r>
      <w:r>
        <w:rPr>
          <w:sz w:val="20"/>
        </w:rPr>
        <w:t>4G</w:t>
      </w:r>
      <w:r>
        <w:rPr>
          <w:sz w:val="20"/>
        </w:rPr>
        <w:t>物联网控制电源，建设智慧照明管理平台，远程实现每盏路灯可控、可调。对路灯进行日常管养和维护，确保路灯正常使用。</w:t>
      </w:r>
    </w:p>
    <w:p>
      <w:pPr>
        <w:pStyle w:val="null3"/>
        <w:jc w:val="both"/>
      </w:pPr>
      <w:r>
        <w:rPr>
          <w:sz w:val="20"/>
          <w:b/>
        </w:rPr>
        <w:t>四、需执行的国家相关标准、行业标准、地方标准或者其他标准、规范</w:t>
      </w:r>
    </w:p>
    <w:p>
      <w:pPr>
        <w:pStyle w:val="null3"/>
        <w:spacing w:before="105"/>
        <w:ind w:firstLine="392"/>
        <w:jc w:val="both"/>
      </w:pPr>
      <w:r>
        <w:rPr>
          <w:sz w:val="20"/>
        </w:rPr>
        <w:t>GB/T24915-2020</w:t>
      </w:r>
      <w:r>
        <w:rPr>
          <w:sz w:val="20"/>
        </w:rPr>
        <w:t>：合同能源管理技术通则</w:t>
      </w:r>
    </w:p>
    <w:p>
      <w:pPr>
        <w:pStyle w:val="null3"/>
        <w:spacing w:before="105"/>
        <w:ind w:firstLine="392"/>
        <w:jc w:val="both"/>
      </w:pPr>
      <w:r>
        <w:rPr>
          <w:sz w:val="20"/>
        </w:rPr>
        <w:t>GB/T51285-2018</w:t>
      </w:r>
      <w:r>
        <w:rPr>
          <w:sz w:val="20"/>
        </w:rPr>
        <w:t>：建筑合同能源管理节能效果评价标准</w:t>
      </w:r>
    </w:p>
    <w:p>
      <w:pPr>
        <w:pStyle w:val="null3"/>
        <w:spacing w:before="105"/>
        <w:ind w:firstLine="392"/>
        <w:jc w:val="both"/>
      </w:pPr>
      <w:r>
        <w:rPr>
          <w:sz w:val="20"/>
        </w:rPr>
        <w:t>GB/T31342-2014</w:t>
      </w:r>
      <w:r>
        <w:rPr>
          <w:sz w:val="20"/>
        </w:rPr>
        <w:t>：公共机构能源审计技术导则</w:t>
      </w:r>
    </w:p>
    <w:p>
      <w:pPr>
        <w:pStyle w:val="null3"/>
        <w:spacing w:before="105"/>
        <w:ind w:firstLine="392"/>
        <w:jc w:val="both"/>
      </w:pPr>
      <w:r>
        <w:rPr>
          <w:sz w:val="20"/>
        </w:rPr>
        <w:t>CJJ89-2012</w:t>
      </w:r>
      <w:r>
        <w:rPr>
          <w:sz w:val="20"/>
        </w:rPr>
        <w:t>：城市道路照明工程施工及验收规程</w:t>
      </w:r>
    </w:p>
    <w:p>
      <w:pPr>
        <w:pStyle w:val="null3"/>
        <w:spacing w:before="105"/>
        <w:ind w:firstLine="392"/>
        <w:jc w:val="both"/>
      </w:pPr>
      <w:r>
        <w:rPr>
          <w:sz w:val="20"/>
        </w:rPr>
        <w:t>GB43473-2023</w:t>
      </w:r>
      <w:r>
        <w:rPr>
          <w:sz w:val="20"/>
        </w:rPr>
        <w:t>：照明产品用控制装置及其部件安全要求</w:t>
      </w:r>
    </w:p>
    <w:p>
      <w:pPr>
        <w:pStyle w:val="null3"/>
        <w:spacing w:before="105"/>
        <w:ind w:firstLine="392"/>
        <w:jc w:val="both"/>
      </w:pPr>
      <w:r>
        <w:rPr>
          <w:sz w:val="20"/>
        </w:rPr>
        <w:t>GB/T41014-2021</w:t>
      </w:r>
      <w:r>
        <w:rPr>
          <w:sz w:val="20"/>
        </w:rPr>
        <w:t>：照明系统能效评价</w:t>
      </w:r>
    </w:p>
    <w:p>
      <w:pPr>
        <w:pStyle w:val="null3"/>
        <w:spacing w:before="105"/>
        <w:ind w:firstLine="392"/>
        <w:jc w:val="both"/>
      </w:pPr>
      <w:r>
        <w:rPr>
          <w:sz w:val="20"/>
        </w:rPr>
        <w:t>GB/T39021-2020</w:t>
      </w:r>
      <w:r>
        <w:rPr>
          <w:sz w:val="20"/>
        </w:rPr>
        <w:t>：智能照明系统通用要求</w:t>
      </w:r>
    </w:p>
    <w:p>
      <w:pPr>
        <w:pStyle w:val="null3"/>
        <w:spacing w:before="105"/>
        <w:ind w:firstLine="392"/>
        <w:jc w:val="both"/>
      </w:pPr>
      <w:r>
        <w:rPr>
          <w:sz w:val="20"/>
        </w:rPr>
        <w:t>GB37478-2019</w:t>
      </w:r>
      <w:r>
        <w:rPr>
          <w:sz w:val="20"/>
        </w:rPr>
        <w:t>：道路和隧道照明用</w:t>
      </w:r>
      <w:r>
        <w:rPr>
          <w:sz w:val="20"/>
        </w:rPr>
        <w:t>LED</w:t>
      </w:r>
      <w:r>
        <w:rPr>
          <w:sz w:val="20"/>
        </w:rPr>
        <w:t>灯具能效限定值及能效等级</w:t>
      </w:r>
    </w:p>
    <w:p>
      <w:pPr>
        <w:pStyle w:val="null3"/>
        <w:spacing w:before="105"/>
        <w:ind w:firstLine="392"/>
        <w:jc w:val="both"/>
      </w:pPr>
      <w:r>
        <w:rPr>
          <w:sz w:val="20"/>
        </w:rPr>
        <w:t>GB/T35626-2017</w:t>
      </w:r>
      <w:r>
        <w:rPr>
          <w:sz w:val="20"/>
        </w:rPr>
        <w:t>：室外照明干扰光限制规范</w:t>
      </w:r>
    </w:p>
    <w:p>
      <w:pPr>
        <w:pStyle w:val="null3"/>
        <w:spacing w:before="105"/>
        <w:ind w:firstLine="392"/>
        <w:jc w:val="both"/>
      </w:pPr>
      <w:r>
        <w:rPr>
          <w:sz w:val="20"/>
        </w:rPr>
        <w:t>GB/T34846-2017</w:t>
      </w:r>
      <w:r>
        <w:rPr>
          <w:sz w:val="20"/>
        </w:rPr>
        <w:t>：</w:t>
      </w:r>
      <w:r>
        <w:rPr>
          <w:sz w:val="20"/>
        </w:rPr>
        <w:t>LED</w:t>
      </w:r>
      <w:r>
        <w:rPr>
          <w:sz w:val="20"/>
        </w:rPr>
        <w:t>道路</w:t>
      </w:r>
      <w:r>
        <w:rPr>
          <w:sz w:val="20"/>
        </w:rPr>
        <w:t>/</w:t>
      </w:r>
      <w:r>
        <w:rPr>
          <w:sz w:val="20"/>
        </w:rPr>
        <w:t>隧道照明专用模块规格和接口技术要求</w:t>
      </w:r>
    </w:p>
    <w:p>
      <w:pPr>
        <w:pStyle w:val="null3"/>
        <w:spacing w:before="105"/>
        <w:ind w:firstLine="392"/>
        <w:jc w:val="both"/>
      </w:pPr>
      <w:r>
        <w:rPr>
          <w:sz w:val="20"/>
        </w:rPr>
        <w:t>GB/T34034-2017</w:t>
      </w:r>
      <w:r>
        <w:rPr>
          <w:sz w:val="20"/>
        </w:rPr>
        <w:t>：普通照明用</w:t>
      </w:r>
      <w:r>
        <w:rPr>
          <w:sz w:val="20"/>
        </w:rPr>
        <w:t>LED</w:t>
      </w:r>
      <w:r>
        <w:rPr>
          <w:sz w:val="20"/>
        </w:rPr>
        <w:t>产品光辐射安全要求</w:t>
      </w:r>
    </w:p>
    <w:p>
      <w:pPr>
        <w:pStyle w:val="null3"/>
        <w:spacing w:before="105"/>
        <w:ind w:firstLine="392"/>
        <w:jc w:val="both"/>
      </w:pPr>
      <w:r>
        <w:rPr>
          <w:sz w:val="20"/>
        </w:rPr>
        <w:t>GB/T32038-2015</w:t>
      </w:r>
      <w:r>
        <w:rPr>
          <w:sz w:val="20"/>
        </w:rPr>
        <w:t>：照明工程节能监测方法</w:t>
      </w:r>
    </w:p>
    <w:p>
      <w:pPr>
        <w:pStyle w:val="null3"/>
        <w:spacing w:before="105"/>
        <w:ind w:firstLine="392"/>
        <w:jc w:val="both"/>
      </w:pPr>
      <w:r>
        <w:rPr>
          <w:sz w:val="20"/>
        </w:rPr>
        <w:t>GB/T24827-2015</w:t>
      </w:r>
      <w:r>
        <w:rPr>
          <w:sz w:val="20"/>
        </w:rPr>
        <w:t>：道路与街路照明灯具性能要求</w:t>
      </w:r>
    </w:p>
    <w:p>
      <w:pPr>
        <w:pStyle w:val="null3"/>
        <w:spacing w:before="105"/>
        <w:ind w:firstLine="392"/>
        <w:jc w:val="both"/>
      </w:pPr>
      <w:r>
        <w:rPr>
          <w:sz w:val="20"/>
        </w:rPr>
        <w:t>GB/T31832-2015</w:t>
      </w:r>
      <w:r>
        <w:rPr>
          <w:sz w:val="20"/>
        </w:rPr>
        <w:t>：</w:t>
      </w:r>
      <w:r>
        <w:rPr>
          <w:sz w:val="20"/>
        </w:rPr>
        <w:t>LED</w:t>
      </w:r>
      <w:r>
        <w:rPr>
          <w:sz w:val="20"/>
        </w:rPr>
        <w:t>城市道路照明应用技术要求</w:t>
      </w:r>
    </w:p>
    <w:p>
      <w:pPr>
        <w:pStyle w:val="null3"/>
        <w:spacing w:before="105"/>
        <w:ind w:firstLine="392"/>
        <w:jc w:val="both"/>
      </w:pPr>
      <w:r>
        <w:rPr>
          <w:sz w:val="20"/>
        </w:rPr>
        <w:t>GB/T18595-2014</w:t>
      </w:r>
      <w:r>
        <w:rPr>
          <w:sz w:val="20"/>
        </w:rPr>
        <w:t>：一般照明用设备电磁兼容抗扰度要求</w:t>
      </w:r>
    </w:p>
    <w:p>
      <w:pPr>
        <w:pStyle w:val="null3"/>
        <w:spacing w:before="105"/>
        <w:ind w:firstLine="392"/>
        <w:jc w:val="both"/>
      </w:pPr>
      <w:r>
        <w:rPr>
          <w:sz w:val="20"/>
        </w:rPr>
        <w:t>GB/Z26214-2010</w:t>
      </w:r>
      <w:r>
        <w:rPr>
          <w:sz w:val="20"/>
        </w:rPr>
        <w:t>：室外运动和区域照明的眩光评价</w:t>
      </w:r>
    </w:p>
    <w:p>
      <w:pPr>
        <w:pStyle w:val="null3"/>
        <w:spacing w:before="105"/>
        <w:ind w:firstLine="392"/>
        <w:jc w:val="both"/>
      </w:pPr>
      <w:r>
        <w:rPr>
          <w:sz w:val="20"/>
        </w:rPr>
        <w:t>GB/T25959-2010</w:t>
      </w:r>
      <w:r>
        <w:rPr>
          <w:sz w:val="20"/>
        </w:rPr>
        <w:t>：照明节电装置及应用技术条件</w:t>
      </w:r>
    </w:p>
    <w:p>
      <w:pPr>
        <w:pStyle w:val="null3"/>
        <w:spacing w:before="105"/>
        <w:ind w:firstLine="392"/>
        <w:jc w:val="both"/>
      </w:pPr>
      <w:r>
        <w:rPr>
          <w:sz w:val="20"/>
        </w:rPr>
        <w:t>GB/T24969-2010</w:t>
      </w:r>
      <w:r>
        <w:rPr>
          <w:sz w:val="20"/>
        </w:rPr>
        <w:t>：公路照明技术条件</w:t>
      </w:r>
    </w:p>
    <w:p>
      <w:pPr>
        <w:pStyle w:val="null3"/>
        <w:jc w:val="both"/>
      </w:pPr>
      <w:r>
        <w:rPr>
          <w:sz w:val="20"/>
          <w:b/>
        </w:rPr>
        <w:t>五、</w:t>
      </w:r>
      <w:r>
        <w:rPr>
          <w:sz w:val="21"/>
          <w:b/>
        </w:rPr>
        <w:t>道路照明设计标准</w:t>
      </w:r>
    </w:p>
    <w:p>
      <w:pPr>
        <w:pStyle w:val="null3"/>
        <w:spacing w:before="105"/>
        <w:ind w:firstLine="392"/>
        <w:jc w:val="both"/>
      </w:pPr>
      <w:r>
        <w:rPr>
          <w:sz w:val="20"/>
        </w:rPr>
        <w:t>本次设计按城市主干道进行设计。本项目的标准高于《城市道路照明设计标准》（</w:t>
      </w:r>
      <w:r>
        <w:rPr>
          <w:sz w:val="20"/>
        </w:rPr>
        <w:t>CJJ45-2015</w:t>
      </w:r>
      <w:r>
        <w:rPr>
          <w:sz w:val="20"/>
        </w:rPr>
        <w:t>）推荐的道路标准，本工程道路照明的有关标准如下：</w:t>
      </w:r>
    </w:p>
    <w:p>
      <w:pPr>
        <w:pStyle w:val="null3"/>
        <w:spacing w:before="105"/>
        <w:ind w:firstLine="392"/>
        <w:jc w:val="both"/>
      </w:pPr>
      <w:r>
        <w:rPr>
          <w:sz w:val="20"/>
        </w:rPr>
        <w:t>a.</w:t>
      </w:r>
      <w:r>
        <w:rPr>
          <w:sz w:val="20"/>
        </w:rPr>
        <w:t>平均照度不低于</w:t>
      </w:r>
      <w:r>
        <w:rPr>
          <w:sz w:val="20"/>
        </w:rPr>
        <w:t>24LX</w:t>
      </w:r>
      <w:r>
        <w:rPr>
          <w:sz w:val="20"/>
        </w:rPr>
        <w:t>；</w:t>
      </w:r>
    </w:p>
    <w:p>
      <w:pPr>
        <w:pStyle w:val="null3"/>
        <w:spacing w:before="105"/>
        <w:ind w:firstLine="392"/>
        <w:jc w:val="both"/>
      </w:pPr>
      <w:r>
        <w:rPr>
          <w:sz w:val="20"/>
        </w:rPr>
        <w:t>b.</w:t>
      </w:r>
      <w:r>
        <w:rPr>
          <w:sz w:val="20"/>
        </w:rPr>
        <w:t>平均亮度不低千</w:t>
      </w:r>
      <w:r>
        <w:rPr>
          <w:sz w:val="20"/>
        </w:rPr>
        <w:t>1.8cd</w:t>
      </w:r>
      <w:r>
        <w:rPr>
          <w:sz w:val="20"/>
        </w:rPr>
        <w:t>／平方米；</w:t>
      </w:r>
    </w:p>
    <w:p>
      <w:pPr>
        <w:pStyle w:val="null3"/>
        <w:spacing w:before="105"/>
        <w:ind w:firstLine="392"/>
        <w:jc w:val="both"/>
      </w:pPr>
      <w:r>
        <w:rPr>
          <w:sz w:val="20"/>
        </w:rPr>
        <w:t>c.</w:t>
      </w:r>
      <w:r>
        <w:rPr>
          <w:sz w:val="20"/>
        </w:rPr>
        <w:t>照度均匀度不低千</w:t>
      </w:r>
      <w:r>
        <w:rPr>
          <w:sz w:val="20"/>
        </w:rPr>
        <w:t>0.48</w:t>
      </w:r>
      <w:r>
        <w:rPr>
          <w:sz w:val="20"/>
        </w:rPr>
        <w:t>；</w:t>
      </w:r>
    </w:p>
    <w:p>
      <w:pPr>
        <w:pStyle w:val="null3"/>
        <w:spacing w:before="105"/>
        <w:ind w:firstLine="392"/>
        <w:jc w:val="both"/>
      </w:pPr>
      <w:r>
        <w:rPr>
          <w:sz w:val="20"/>
        </w:rPr>
        <w:t>d.</w:t>
      </w:r>
      <w:r>
        <w:rPr>
          <w:sz w:val="20"/>
        </w:rPr>
        <w:t>亮度均匀度不低千</w:t>
      </w:r>
      <w:r>
        <w:rPr>
          <w:sz w:val="20"/>
        </w:rPr>
        <w:t>0.48</w:t>
      </w:r>
      <w:r>
        <w:rPr>
          <w:sz w:val="20"/>
        </w:rPr>
        <w:t>；</w:t>
      </w:r>
    </w:p>
    <w:p>
      <w:pPr>
        <w:pStyle w:val="null3"/>
        <w:spacing w:before="105"/>
        <w:ind w:firstLine="392"/>
        <w:jc w:val="both"/>
      </w:pPr>
      <w:r>
        <w:rPr>
          <w:sz w:val="20"/>
        </w:rPr>
        <w:t>e.</w:t>
      </w:r>
      <w:r>
        <w:rPr>
          <w:sz w:val="20"/>
        </w:rPr>
        <w:t>机动车交通道路的照明功率密度值为</w:t>
      </w:r>
      <w:r>
        <w:rPr>
          <w:sz w:val="20"/>
        </w:rPr>
        <w:t>0.84w/m2</w:t>
      </w:r>
      <w:r>
        <w:rPr>
          <w:sz w:val="20"/>
        </w:rPr>
        <w:t>。</w:t>
      </w:r>
    </w:p>
    <w:p>
      <w:pPr>
        <w:pStyle w:val="null3"/>
        <w:jc w:val="both"/>
      </w:pPr>
      <w:r>
        <w:rPr>
          <w:sz w:val="21"/>
          <w:b/>
        </w:rPr>
        <w:t>六、路灯设施情况：</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2338"/>
        <w:gridCol w:w="1139"/>
        <w:gridCol w:w="1139"/>
        <w:gridCol w:w="1093"/>
        <w:gridCol w:w="638"/>
        <w:gridCol w:w="607"/>
        <w:gridCol w:w="1351"/>
      </w:tblGrid>
      <w:tr>
        <w:tc>
          <w:tcPr>
            <w:tcW w:type="dxa" w:w="8305"/>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570"/>
            </w:pPr>
            <w:r>
              <w:rPr>
                <w:sz w:val="21"/>
                <w:b/>
              </w:rPr>
              <w:t>路灯设施情况统计表</w:t>
            </w:r>
          </w:p>
        </w:tc>
      </w:tr>
      <w:tr>
        <w:tc>
          <w:tcPr>
            <w:tcW w:type="dxa" w:w="23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区域范围</w:t>
            </w:r>
          </w:p>
        </w:tc>
        <w:tc>
          <w:tcPr>
            <w:tcW w:type="dxa" w:w="1139"/>
            <w:vMerge w:val="restart"/>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支数</w:t>
            </w:r>
          </w:p>
        </w:tc>
        <w:tc>
          <w:tcPr>
            <w:tcW w:type="dxa" w:w="1139"/>
            <w:vMerge w:val="restart"/>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ind w:firstLine="416"/>
              <w:jc w:val="both"/>
            </w:pPr>
            <w:r>
              <w:rPr>
                <w:sz w:val="21"/>
              </w:rPr>
              <w:t>头数</w:t>
            </w:r>
          </w:p>
        </w:tc>
        <w:tc>
          <w:tcPr>
            <w:tcW w:type="dxa" w:w="1093"/>
            <w:vMerge w:val="restart"/>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180"/>
              <w:ind w:left="315" w:right="300"/>
            </w:pPr>
            <w:r>
              <w:rPr>
                <w:sz w:val="21"/>
              </w:rPr>
              <w:t>总功率（</w:t>
            </w:r>
            <w:r>
              <w:rPr>
                <w:sz w:val="21"/>
              </w:rPr>
              <w:t>kW</w:t>
            </w:r>
            <w:r>
              <w:rPr>
                <w:sz w:val="21"/>
              </w:rPr>
              <w:t>）</w:t>
            </w:r>
          </w:p>
        </w:tc>
        <w:tc>
          <w:tcPr>
            <w:tcW w:type="dxa" w:w="1245"/>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300"/>
            </w:pPr>
            <w:r>
              <w:rPr>
                <w:sz w:val="21"/>
              </w:rPr>
              <w:t>托管事项</w:t>
            </w:r>
          </w:p>
        </w:tc>
        <w:tc>
          <w:tcPr>
            <w:tcW w:type="dxa" w:w="1351"/>
            <w:vMerge w:val="restart"/>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both"/>
            </w:pPr>
            <w:r>
              <w:rPr>
                <w:sz w:val="21"/>
              </w:rPr>
              <w:t>备注</w:t>
            </w:r>
          </w:p>
        </w:tc>
      </w:tr>
      <w:tr>
        <w:tc>
          <w:tcPr>
            <w:tcW w:type="dxa" w:w="2338"/>
            <w:vMerge/>
            <w:tcBorders>
              <w:top w:val="none" w:color="000000" w:sz="4"/>
              <w:left w:val="single" w:color="000000" w:sz="4"/>
              <w:bottom w:val="none" w:color="000000" w:sz="4"/>
              <w:right w:val="single" w:color="000000" w:sz="4"/>
            </w:tcBorders>
          </w:tcPr>
          <w:p/>
        </w:tc>
        <w:tc>
          <w:tcPr>
            <w:tcW w:type="dxa" w:w="1139"/>
            <w:vMerge/>
            <w:tcBorders>
              <w:top w:val="single" w:color="000000" w:sz="4"/>
              <w:left w:val="none" w:color="000000" w:sz="4"/>
              <w:bottom w:val="none" w:color="000000" w:sz="4"/>
              <w:right w:val="single" w:color="000000" w:sz="4"/>
            </w:tcBorders>
          </w:tcPr>
          <w:p/>
        </w:tc>
        <w:tc>
          <w:tcPr>
            <w:tcW w:type="dxa" w:w="1139"/>
            <w:vMerge/>
            <w:tcBorders>
              <w:top w:val="single" w:color="000000" w:sz="4"/>
              <w:left w:val="none" w:color="000000" w:sz="4"/>
              <w:bottom w:val="none" w:color="000000" w:sz="4"/>
              <w:right w:val="single" w:color="000000" w:sz="4"/>
            </w:tcBorders>
          </w:tcPr>
          <w:p/>
        </w:tc>
        <w:tc>
          <w:tcPr>
            <w:tcW w:type="dxa" w:w="1093"/>
            <w:vMerge/>
            <w:tcBorders>
              <w:top w:val="single" w:color="000000" w:sz="4"/>
              <w:left w:val="none" w:color="000000" w:sz="4"/>
              <w:bottom w:val="none" w:color="000000" w:sz="4"/>
              <w:right w:val="single" w:color="000000" w:sz="4"/>
            </w:tcBorders>
          </w:tcP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65" w:right="150" w:firstLine="27"/>
            </w:pPr>
            <w:r>
              <w:rPr>
                <w:sz w:val="21"/>
              </w:rPr>
              <w:t>电费缴纳</w:t>
            </w:r>
          </w:p>
        </w:tc>
        <w:tc>
          <w:tcPr>
            <w:tcW w:type="dxa" w:w="6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50" w:right="135"/>
            </w:pPr>
            <w:r>
              <w:rPr>
                <w:sz w:val="21"/>
              </w:rPr>
              <w:t>管养维护</w:t>
            </w:r>
          </w:p>
        </w:tc>
        <w:tc>
          <w:tcPr>
            <w:tcW w:type="dxa" w:w="1351"/>
            <w:vMerge/>
            <w:tcBorders>
              <w:top w:val="single" w:color="000000" w:sz="4"/>
              <w:left w:val="none" w:color="000000" w:sz="4"/>
              <w:bottom w:val="none" w:color="000000" w:sz="4"/>
              <w:right w:val="single" w:color="000000" w:sz="4"/>
            </w:tcBorders>
          </w:tcPr>
          <w:p/>
        </w:tc>
      </w:tr>
      <w:tr>
        <w:tc>
          <w:tcPr>
            <w:tcW w:type="dxa" w:w="2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全镇市政道路</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both"/>
            </w:pPr>
            <w:r>
              <w:rPr>
                <w:sz w:val="21"/>
              </w:rPr>
              <w:t>6344</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90"/>
              <w:jc w:val="both"/>
            </w:pPr>
            <w:r>
              <w:rPr>
                <w:sz w:val="21"/>
              </w:rPr>
              <w:t>10218</w:t>
            </w:r>
          </w:p>
        </w:tc>
        <w:tc>
          <w:tcPr>
            <w:tcW w:type="dxa" w:w="1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center"/>
            </w:pPr>
            <w:r>
              <w:rPr>
                <w:sz w:val="21"/>
              </w:rPr>
              <w:t>1434.58</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w:t>
            </w:r>
          </w:p>
        </w:tc>
        <w:tc>
          <w:tcPr>
            <w:tcW w:type="dxa" w:w="6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w:t>
            </w:r>
          </w:p>
        </w:tc>
        <w:tc>
          <w:tcPr>
            <w:tcW w:type="dxa" w:w="13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镇属湿地公园</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0"/>
              <w:jc w:val="left"/>
            </w:pPr>
            <w:r>
              <w:rPr>
                <w:sz w:val="21"/>
              </w:rPr>
              <w:t>235</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390"/>
              <w:jc w:val="both"/>
            </w:pPr>
            <w:r>
              <w:rPr>
                <w:sz w:val="21"/>
              </w:rPr>
              <w:t>235</w:t>
            </w:r>
          </w:p>
        </w:tc>
        <w:tc>
          <w:tcPr>
            <w:tcW w:type="dxa" w:w="1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195"/>
              <w:jc w:val="center"/>
            </w:pPr>
            <w:r>
              <w:rPr>
                <w:sz w:val="21"/>
              </w:rPr>
              <w:t>164.5</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w:t>
            </w:r>
          </w:p>
        </w:tc>
        <w:tc>
          <w:tcPr>
            <w:tcW w:type="dxa" w:w="6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21"/>
              </w:rPr>
              <w:t>●</w:t>
            </w:r>
          </w:p>
        </w:tc>
        <w:tc>
          <w:tcPr>
            <w:tcW w:type="dxa" w:w="13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预留路灯设施新增量</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15"/>
            </w:pPr>
            <w:r>
              <w:rPr>
                <w:sz w:val="21"/>
              </w:rPr>
              <w:t>/</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615"/>
            </w:pPr>
            <w:r>
              <w:rPr>
                <w:sz w:val="21"/>
              </w:rPr>
              <w:t>/</w:t>
            </w:r>
          </w:p>
        </w:tc>
        <w:tc>
          <w:tcPr>
            <w:tcW w:type="dxa" w:w="1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35"/>
            </w:pPr>
            <w:r>
              <w:rPr>
                <w:sz w:val="21"/>
              </w:rPr>
              <w:t>500</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85"/>
            </w:pPr>
            <w:r>
              <w:rPr>
                <w:sz w:val="21"/>
              </w:rPr>
              <w:t>●</w:t>
            </w:r>
          </w:p>
        </w:tc>
        <w:tc>
          <w:tcPr>
            <w:tcW w:type="dxa" w:w="6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pPr>
            <w:r>
              <w:rPr>
                <w:sz w:val="21"/>
              </w:rPr>
              <w:t>●</w:t>
            </w:r>
          </w:p>
        </w:tc>
        <w:tc>
          <w:tcPr>
            <w:tcW w:type="dxa" w:w="13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合计</w:t>
            </w: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1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10453</w:t>
            </w:r>
          </w:p>
        </w:tc>
        <w:tc>
          <w:tcPr>
            <w:tcW w:type="dxa" w:w="10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50"/>
            </w:pP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b/>
              </w:rPr>
              <w:t>备注：</w:t>
            </w:r>
            <w:r>
              <w:rPr>
                <w:sz w:val="21"/>
                <w:b/>
              </w:rPr>
              <w:t>1.</w:t>
            </w:r>
            <w:r>
              <w:rPr>
                <w:sz w:val="21"/>
                <w:b/>
              </w:rPr>
              <w:t>以上路灯设施量属本次托管的路灯设施基准量，后续新增路灯设施（中标人必须无条件接收）功率未超过该基准量的，托管服务费用不作调整；超过基准量的，超过部分按合同约定处理。</w:t>
            </w:r>
          </w:p>
          <w:p>
            <w:pPr>
              <w:pStyle w:val="null3"/>
              <w:spacing w:before="30"/>
              <w:ind w:left="120"/>
            </w:pPr>
            <w:r>
              <w:rPr>
                <w:sz w:val="21"/>
                <w:b/>
              </w:rPr>
              <w:t>2.</w:t>
            </w:r>
            <w:r>
              <w:rPr>
                <w:sz w:val="21"/>
                <w:b/>
              </w:rPr>
              <w:t>以上数据如分项出现误差，以总量数据为准。</w:t>
            </w:r>
          </w:p>
          <w:p>
            <w:pPr>
              <w:pStyle w:val="null3"/>
              <w:spacing w:before="15"/>
              <w:ind w:left="120"/>
            </w:pPr>
            <w:r>
              <w:rPr>
                <w:sz w:val="21"/>
                <w:b/>
              </w:rPr>
              <w:t>3.</w:t>
            </w:r>
            <w:r>
              <w:rPr>
                <w:sz w:val="21"/>
                <w:b/>
              </w:rPr>
              <w:t>托管事项中●表示承担事项，表示不承担事项。</w:t>
            </w:r>
          </w:p>
        </w:tc>
      </w:tr>
    </w:tbl>
    <w:p>
      <w:pPr>
        <w:pStyle w:val="null3"/>
        <w:jc w:val="both"/>
      </w:pPr>
      <w:r>
        <w:rPr>
          <w:sz w:val="20"/>
          <w:b/>
        </w:rPr>
        <w:t>七、服务标准</w:t>
      </w:r>
    </w:p>
    <w:p>
      <w:pPr>
        <w:pStyle w:val="null3"/>
        <w:spacing w:before="105"/>
        <w:ind w:firstLine="392"/>
        <w:jc w:val="both"/>
      </w:pPr>
      <w:r>
        <w:rPr>
          <w:sz w:val="20"/>
        </w:rPr>
        <w:t>符合《城市道路照明设计标准》（</w:t>
      </w:r>
      <w:r>
        <w:rPr>
          <w:sz w:val="20"/>
        </w:rPr>
        <w:t>CJJ45-2015</w:t>
      </w:r>
      <w:r>
        <w:rPr>
          <w:sz w:val="20"/>
        </w:rPr>
        <w:t>）、《合同能源管理技术通则》（</w:t>
      </w:r>
      <w:r>
        <w:rPr>
          <w:sz w:val="20"/>
        </w:rPr>
        <w:t>GB/T24915-2020</w:t>
      </w:r>
      <w:r>
        <w:rPr>
          <w:sz w:val="20"/>
        </w:rPr>
        <w:t>）等国家、行业和地方现行的相关标准及规范，满足采购人要求，达到质量合格标准。</w:t>
      </w:r>
    </w:p>
    <w:p>
      <w:pPr>
        <w:pStyle w:val="null3"/>
        <w:spacing w:before="105"/>
        <w:ind w:firstLine="392"/>
        <w:jc w:val="both"/>
      </w:pPr>
      <w:r>
        <w:rPr>
          <w:sz w:val="20"/>
          <w:b/>
        </w:rPr>
        <w:t>八、服务要求</w:t>
      </w:r>
    </w:p>
    <w:p>
      <w:pPr>
        <w:pStyle w:val="null3"/>
        <w:spacing w:before="105"/>
        <w:ind w:firstLine="394"/>
        <w:jc w:val="both"/>
      </w:pPr>
      <w:r>
        <w:rPr>
          <w:sz w:val="20"/>
          <w:b/>
        </w:rPr>
        <w:t>（</w:t>
      </w:r>
      <w:r>
        <w:rPr>
          <w:sz w:val="20"/>
          <w:b/>
        </w:rPr>
        <w:t>1</w:t>
      </w:r>
      <w:r>
        <w:rPr>
          <w:sz w:val="20"/>
          <w:b/>
        </w:rPr>
        <w:t>）照明品质要求：</w:t>
      </w:r>
    </w:p>
    <w:p>
      <w:pPr>
        <w:pStyle w:val="null3"/>
        <w:spacing w:before="105"/>
        <w:ind w:firstLine="392"/>
        <w:jc w:val="both"/>
      </w:pPr>
      <w:r>
        <w:rPr>
          <w:sz w:val="20"/>
        </w:rPr>
        <w:t>路灯：托管范围内道路照明主要技术指标（照度、均匀度等）应达到《城市道路照明设计标准》（</w:t>
      </w:r>
      <w:r>
        <w:rPr>
          <w:sz w:val="20"/>
        </w:rPr>
        <w:t>CJJ45-2015</w:t>
      </w:r>
      <w:r>
        <w:rPr>
          <w:sz w:val="20"/>
        </w:rPr>
        <w:t>）要求的上限且满足《古镇节能改造产品技术参数》的要求。全夜灯亮灯时长每年应不少于</w:t>
      </w:r>
      <w:r>
        <w:rPr>
          <w:sz w:val="20"/>
          <w:u w:val="single"/>
        </w:rPr>
        <w:t>4281</w:t>
      </w:r>
      <w:r>
        <w:rPr>
          <w:sz w:val="20"/>
        </w:rPr>
        <w:t>小时，平均每天亮灯时间约</w:t>
      </w:r>
      <w:r>
        <w:rPr>
          <w:sz w:val="20"/>
        </w:rPr>
        <w:t>11.54</w:t>
      </w:r>
      <w:r>
        <w:rPr>
          <w:sz w:val="20"/>
        </w:rPr>
        <w:t>小时（即：</w:t>
      </w:r>
      <w:r>
        <w:rPr>
          <w:sz w:val="20"/>
        </w:rPr>
        <w:t>7</w:t>
      </w:r>
      <w:r>
        <w:rPr>
          <w:sz w:val="20"/>
        </w:rPr>
        <w:t>月和</w:t>
      </w:r>
      <w:r>
        <w:rPr>
          <w:sz w:val="20"/>
        </w:rPr>
        <w:t>8</w:t>
      </w:r>
      <w:r>
        <w:rPr>
          <w:sz w:val="20"/>
        </w:rPr>
        <w:t>月每天亮灯时间</w:t>
      </w:r>
      <w:r>
        <w:rPr>
          <w:sz w:val="20"/>
        </w:rPr>
        <w:t>10</w:t>
      </w:r>
      <w:r>
        <w:rPr>
          <w:sz w:val="20"/>
        </w:rPr>
        <w:t>小时，</w:t>
      </w:r>
      <w:r>
        <w:rPr>
          <w:sz w:val="20"/>
        </w:rPr>
        <w:t>3</w:t>
      </w:r>
      <w:r>
        <w:rPr>
          <w:sz w:val="20"/>
        </w:rPr>
        <w:t>月、</w:t>
      </w:r>
      <w:r>
        <w:rPr>
          <w:sz w:val="20"/>
        </w:rPr>
        <w:t>4</w:t>
      </w:r>
      <w:r>
        <w:rPr>
          <w:sz w:val="20"/>
        </w:rPr>
        <w:t>月、</w:t>
      </w:r>
      <w:r>
        <w:rPr>
          <w:sz w:val="20"/>
        </w:rPr>
        <w:t>5</w:t>
      </w:r>
      <w:r>
        <w:rPr>
          <w:sz w:val="20"/>
        </w:rPr>
        <w:t>月和</w:t>
      </w:r>
      <w:r>
        <w:rPr>
          <w:sz w:val="20"/>
        </w:rPr>
        <w:t>6</w:t>
      </w:r>
      <w:r>
        <w:rPr>
          <w:sz w:val="20"/>
        </w:rPr>
        <w:t>月每天亮灯时间</w:t>
      </w:r>
      <w:r>
        <w:rPr>
          <w:sz w:val="20"/>
        </w:rPr>
        <w:t>11</w:t>
      </w:r>
      <w:r>
        <w:rPr>
          <w:sz w:val="20"/>
        </w:rPr>
        <w:t>小时，</w:t>
      </w:r>
      <w:r>
        <w:rPr>
          <w:sz w:val="20"/>
        </w:rPr>
        <w:t>1</w:t>
      </w:r>
      <w:r>
        <w:rPr>
          <w:sz w:val="20"/>
        </w:rPr>
        <w:t>月、</w:t>
      </w:r>
      <w:r>
        <w:rPr>
          <w:sz w:val="20"/>
        </w:rPr>
        <w:t>2</w:t>
      </w:r>
      <w:r>
        <w:rPr>
          <w:sz w:val="20"/>
        </w:rPr>
        <w:t>月和</w:t>
      </w:r>
      <w:r>
        <w:rPr>
          <w:sz w:val="20"/>
        </w:rPr>
        <w:t>9</w:t>
      </w:r>
      <w:r>
        <w:rPr>
          <w:sz w:val="20"/>
        </w:rPr>
        <w:t>月每天亮灯时间</w:t>
      </w:r>
      <w:r>
        <w:rPr>
          <w:sz w:val="20"/>
        </w:rPr>
        <w:t>12</w:t>
      </w:r>
      <w:r>
        <w:rPr>
          <w:sz w:val="20"/>
        </w:rPr>
        <w:t>小时，</w:t>
      </w:r>
      <w:r>
        <w:rPr>
          <w:sz w:val="20"/>
        </w:rPr>
        <w:t>10</w:t>
      </w:r>
      <w:r>
        <w:rPr>
          <w:sz w:val="20"/>
        </w:rPr>
        <w:t>月每天亮灯时间</w:t>
      </w:r>
      <w:r>
        <w:rPr>
          <w:sz w:val="20"/>
        </w:rPr>
        <w:t>12.5</w:t>
      </w:r>
      <w:r>
        <w:rPr>
          <w:sz w:val="20"/>
        </w:rPr>
        <w:t>小时，</w:t>
      </w:r>
      <w:r>
        <w:rPr>
          <w:sz w:val="20"/>
        </w:rPr>
        <w:t>11</w:t>
      </w:r>
      <w:r>
        <w:rPr>
          <w:sz w:val="20"/>
        </w:rPr>
        <w:t>月和</w:t>
      </w:r>
      <w:r>
        <w:rPr>
          <w:sz w:val="20"/>
        </w:rPr>
        <w:t>12</w:t>
      </w:r>
      <w:r>
        <w:rPr>
          <w:sz w:val="20"/>
        </w:rPr>
        <w:t>月每天亮灯时间</w:t>
      </w:r>
      <w:r>
        <w:rPr>
          <w:sz w:val="20"/>
        </w:rPr>
        <w:t>13</w:t>
      </w:r>
      <w:r>
        <w:rPr>
          <w:sz w:val="20"/>
        </w:rPr>
        <w:t>小时），路灯设施年度总用电量不应低于</w:t>
      </w:r>
      <w:r>
        <w:rPr>
          <w:sz w:val="20"/>
        </w:rPr>
        <w:t>2313000</w:t>
      </w:r>
      <w:r>
        <w:rPr>
          <w:sz w:val="20"/>
        </w:rPr>
        <w:t>千瓦时。本次节能改造按节能率不高于</w:t>
      </w:r>
      <w:r>
        <w:rPr>
          <w:sz w:val="20"/>
        </w:rPr>
        <w:t>50%</w:t>
      </w:r>
      <w:r>
        <w:rPr>
          <w:sz w:val="20"/>
        </w:rPr>
        <w:t>进行，其他技术指标不低于合同约定标准，采购人按照附表</w:t>
      </w:r>
      <w:r>
        <w:rPr>
          <w:sz w:val="20"/>
        </w:rPr>
        <w:t>1</w:t>
      </w:r>
      <w:r>
        <w:rPr>
          <w:sz w:val="20"/>
        </w:rPr>
        <w:t>：《古镇节能改造产品技术参数》的要求及经采购人审核批准的节能改造方案进行节能改造验收。灯具具体技术指标要求详见附表</w:t>
      </w:r>
      <w:r>
        <w:rPr>
          <w:sz w:val="20"/>
        </w:rPr>
        <w:t>1</w:t>
      </w:r>
      <w:r>
        <w:rPr>
          <w:sz w:val="20"/>
        </w:rPr>
        <w:t>：《古镇节能改造产品技术参数》。</w:t>
      </w:r>
    </w:p>
    <w:p>
      <w:pPr>
        <w:pStyle w:val="null3"/>
        <w:spacing w:before="105"/>
        <w:ind w:firstLine="392"/>
        <w:jc w:val="both"/>
      </w:pPr>
      <w:r>
        <w:rPr>
          <w:sz w:val="20"/>
        </w:rPr>
        <w:t>景观照明：托管范围内景观照明采购人的要求开启。开启时间及区域应按照采购人的需求，根据实际情况适当调整。景观照明用电量的</w:t>
      </w:r>
      <w:r>
        <w:rPr>
          <w:sz w:val="20"/>
        </w:rPr>
        <w:t>90%</w:t>
      </w:r>
      <w:r>
        <w:rPr>
          <w:sz w:val="20"/>
        </w:rPr>
        <w:t>执行的是峰时电价。</w:t>
      </w:r>
    </w:p>
    <w:p>
      <w:pPr>
        <w:pStyle w:val="null3"/>
        <w:spacing w:before="105"/>
        <w:ind w:firstLine="392"/>
        <w:jc w:val="both"/>
      </w:pPr>
      <w:r>
        <w:rPr>
          <w:sz w:val="20"/>
        </w:rPr>
        <w:t>（</w:t>
      </w:r>
      <w:r>
        <w:rPr>
          <w:sz w:val="20"/>
        </w:rPr>
        <w:t>2</w:t>
      </w:r>
      <w:r>
        <w:rPr>
          <w:sz w:val="20"/>
        </w:rPr>
        <w:t>）控制系统升级要求：按照经采购人审核批准的节能改造方案及附表</w:t>
      </w:r>
      <w:r>
        <w:rPr>
          <w:sz w:val="20"/>
        </w:rPr>
        <w:t>1</w:t>
      </w:r>
      <w:r>
        <w:rPr>
          <w:sz w:val="20"/>
        </w:rPr>
        <w:t>：《古镇节能改造产品技术参数》的要求，进行路灯控制系统升级改造并通过验收。</w:t>
      </w:r>
    </w:p>
    <w:p>
      <w:pPr>
        <w:pStyle w:val="null3"/>
        <w:ind w:firstLine="392"/>
        <w:jc w:val="both"/>
      </w:pPr>
      <w:r>
        <w:rPr>
          <w:sz w:val="20"/>
        </w:rPr>
        <w:t>（</w:t>
      </w:r>
      <w:r>
        <w:rPr>
          <w:sz w:val="20"/>
        </w:rPr>
        <w:t>3</w:t>
      </w:r>
      <w:r>
        <w:rPr>
          <w:sz w:val="20"/>
        </w:rPr>
        <w:t>）城市照明设施管养维护工作标准：托管范围内城市照明设施亮灯率不低于</w:t>
      </w:r>
      <w:r>
        <w:rPr>
          <w:sz w:val="20"/>
        </w:rPr>
        <w:t>97%</w:t>
      </w:r>
      <w:r>
        <w:rPr>
          <w:sz w:val="20"/>
        </w:rPr>
        <w:t>，设施完好率不低于</w:t>
      </w:r>
      <w:r>
        <w:rPr>
          <w:sz w:val="20"/>
        </w:rPr>
        <w:t>98%</w:t>
      </w:r>
      <w:r>
        <w:rPr>
          <w:sz w:val="20"/>
        </w:rPr>
        <w:t>，投诉件按时处置率不低于</w:t>
      </w:r>
      <w:r>
        <w:rPr>
          <w:sz w:val="20"/>
        </w:rPr>
        <w:t>100%</w:t>
      </w:r>
      <w:r>
        <w:rPr>
          <w:sz w:val="20"/>
        </w:rPr>
        <w:t>。其他管养维护工作要求不低于合同约定标准。</w:t>
      </w:r>
    </w:p>
    <w:p>
      <w:pPr>
        <w:pStyle w:val="null3"/>
        <w:ind w:firstLine="472"/>
        <w:jc w:val="both"/>
      </w:pPr>
      <w:r>
        <w:rPr>
          <w:sz w:val="20"/>
        </w:rPr>
        <w:t>（</w:t>
      </w:r>
      <w:r>
        <w:rPr>
          <w:sz w:val="20"/>
        </w:rPr>
        <w:t>4</w:t>
      </w:r>
      <w:r>
        <w:rPr>
          <w:sz w:val="20"/>
        </w:rPr>
        <w:t>）原管养单位聘用人员安置要求：为保障管养维护工作的有效衔接，对于原管养单位聘用的工作人员，按照双方自愿的原则，在同等条件下应优先录用。</w:t>
      </w:r>
    </w:p>
    <w:p>
      <w:pPr>
        <w:pStyle w:val="null3"/>
        <w:ind w:firstLine="472"/>
        <w:jc w:val="both"/>
      </w:pPr>
      <w:r>
        <w:rPr>
          <w:sz w:val="20"/>
        </w:rPr>
        <w:t>（</w:t>
      </w:r>
      <w:r>
        <w:rPr>
          <w:sz w:val="20"/>
        </w:rPr>
        <w:t>5</w:t>
      </w:r>
      <w:r>
        <w:rPr>
          <w:sz w:val="20"/>
        </w:rPr>
        <w:t>）按时足额缴纳托管范围内城市照明设施运行电费，不允许出现因未缴或迟缴电费导致停电的情况。</w:t>
      </w:r>
    </w:p>
    <w:p>
      <w:pPr>
        <w:pStyle w:val="null3"/>
        <w:ind w:firstLine="472"/>
        <w:jc w:val="both"/>
      </w:pPr>
      <w:r>
        <w:rPr>
          <w:sz w:val="20"/>
        </w:rPr>
        <w:t>（</w:t>
      </w:r>
      <w:r>
        <w:rPr>
          <w:sz w:val="20"/>
        </w:rPr>
        <w:t>6</w:t>
      </w:r>
      <w:r>
        <w:rPr>
          <w:sz w:val="20"/>
        </w:rPr>
        <w:t>）交接期、节能改造期费用支付要求：为保障管养维护工作的有效衔接，交接期为</w:t>
      </w:r>
      <w:r>
        <w:rPr>
          <w:sz w:val="20"/>
        </w:rPr>
        <w:t>2</w:t>
      </w:r>
      <w:r>
        <w:rPr>
          <w:sz w:val="20"/>
        </w:rPr>
        <w:t>个月，交接期内设施交接前由原管养单位负责管养维护及承担相应的安全责任，管养维护费由中标人按原标准向原管养单位支付；设施交接后运行维护及安全责任由中标人负责，采购人将与第三方签订的市场化购电协议约定的权利义务概括转移给中标人，由</w:t>
      </w:r>
      <w:r>
        <w:rPr>
          <w:sz w:val="21"/>
        </w:rPr>
        <w:t>中标人</w:t>
      </w:r>
      <w:r>
        <w:rPr>
          <w:sz w:val="20"/>
        </w:rPr>
        <w:t>承接采购人继续履行市场化购电协议约定。自合同签订之日起，</w:t>
      </w:r>
      <w:r>
        <w:rPr>
          <w:sz w:val="21"/>
        </w:rPr>
        <w:t>中标人</w:t>
      </w:r>
      <w:r>
        <w:rPr>
          <w:sz w:val="20"/>
        </w:rPr>
        <w:t>可根据托管项目实际需要自行安排购电事宜。</w:t>
      </w:r>
    </w:p>
    <w:p>
      <w:pPr>
        <w:pStyle w:val="null3"/>
        <w:ind w:firstLine="472"/>
        <w:jc w:val="both"/>
      </w:pPr>
      <w:r>
        <w:rPr>
          <w:sz w:val="20"/>
        </w:rPr>
        <w:t>（</w:t>
      </w:r>
      <w:r>
        <w:rPr>
          <w:sz w:val="20"/>
        </w:rPr>
        <w:t>7</w:t>
      </w:r>
      <w:r>
        <w:rPr>
          <w:sz w:val="20"/>
        </w:rPr>
        <w:t>）完成采购人安排指派的与城市照明设施节能改造运行维护相关的其他工作。</w:t>
      </w:r>
    </w:p>
    <w:p>
      <w:pPr>
        <w:pStyle w:val="null3"/>
        <w:ind w:firstLine="472"/>
        <w:jc w:val="both"/>
      </w:pPr>
      <w:r>
        <w:rPr>
          <w:sz w:val="20"/>
        </w:rPr>
        <w:t>（</w:t>
      </w:r>
      <w:r>
        <w:rPr>
          <w:sz w:val="20"/>
        </w:rPr>
        <w:t>8</w:t>
      </w:r>
      <w:r>
        <w:rPr>
          <w:sz w:val="20"/>
        </w:rPr>
        <w:t>）质量保证期内，负责所有技改产品包括但不限于灯具更换、单灯控制器更换、单灯控制系统等维护、更新和全部维修维护等全部工作，费用包含在项目投资成本中。</w:t>
      </w:r>
    </w:p>
    <w:p>
      <w:pPr>
        <w:pStyle w:val="null3"/>
        <w:ind w:firstLine="472"/>
        <w:jc w:val="both"/>
      </w:pPr>
      <w:r>
        <w:rPr>
          <w:sz w:val="20"/>
        </w:rPr>
        <w:t>（</w:t>
      </w:r>
      <w:r>
        <w:rPr>
          <w:sz w:val="20"/>
        </w:rPr>
        <w:t>9</w:t>
      </w:r>
      <w:r>
        <w:rPr>
          <w:sz w:val="20"/>
        </w:rPr>
        <w:t>）因不可抗力以及产品自身原因产生的更换、更新等费用，由采购人与中标人协商决定；因交通事故等第三方责任产生的费用，由中标单位自行向责任主体结算，中标人应配合采购人无条件修复灯具等设施，确保路灯正常运行。</w:t>
      </w:r>
    </w:p>
    <w:p>
      <w:pPr>
        <w:pStyle w:val="null3"/>
        <w:ind w:firstLine="472"/>
        <w:jc w:val="both"/>
      </w:pPr>
      <w:r>
        <w:rPr>
          <w:sz w:val="20"/>
        </w:rPr>
        <w:t>（</w:t>
      </w:r>
      <w:r>
        <w:rPr>
          <w:sz w:val="20"/>
        </w:rPr>
        <w:t>10</w:t>
      </w:r>
      <w:r>
        <w:rPr>
          <w:sz w:val="20"/>
        </w:rPr>
        <w:t>）其他：如遇整条道路规划调整或有升级服务需要，中标人须无条件全力配合相关工作，负责灯具拆除、运输等事宜，具体情况双方协商解决。</w:t>
      </w:r>
    </w:p>
    <w:p>
      <w:pPr>
        <w:pStyle w:val="null3"/>
        <w:ind w:firstLine="472"/>
        <w:jc w:val="both"/>
      </w:pPr>
      <w:r>
        <w:rPr>
          <w:sz w:val="20"/>
        </w:rPr>
        <w:t>（</w:t>
      </w:r>
      <w:r>
        <w:rPr>
          <w:sz w:val="20"/>
        </w:rPr>
        <w:t>11</w:t>
      </w:r>
      <w:r>
        <w:rPr>
          <w:sz w:val="20"/>
        </w:rPr>
        <w:t>）路灯维护：路灯维护管理内容包括但不限于以下几个方面（费用由中标人承担）：</w:t>
      </w:r>
    </w:p>
    <w:p>
      <w:pPr>
        <w:pStyle w:val="null3"/>
        <w:ind w:firstLine="472"/>
        <w:jc w:val="both"/>
      </w:pPr>
      <w:r>
        <w:rPr>
          <w:sz w:val="20"/>
        </w:rPr>
        <w:t>①定期巡检：中标人定期对路灯进行巡检，检查灯具是否正常工作、灯杆是否稳固、线路是否完好等，发现问题及时进行修复或更换。</w:t>
      </w:r>
    </w:p>
    <w:p>
      <w:pPr>
        <w:pStyle w:val="null3"/>
        <w:ind w:firstLine="472"/>
        <w:jc w:val="both"/>
      </w:pPr>
      <w:r>
        <w:rPr>
          <w:sz w:val="20"/>
        </w:rPr>
        <w:t>②灯具维护：中标人定期对路灯的灯具进行检修和维护，包括清洁灯罩、更换损坏灯具，确保灯具的正常亮度和照明效果。</w:t>
      </w:r>
    </w:p>
    <w:p>
      <w:pPr>
        <w:pStyle w:val="null3"/>
        <w:ind w:firstLine="472"/>
        <w:jc w:val="both"/>
      </w:pPr>
      <w:r>
        <w:rPr>
          <w:sz w:val="20"/>
        </w:rPr>
        <w:t>③灯杆维护：中标人定期检查灯杆的稳固性，确保灯杆不会倾斜或松动，需要及时进行修复或更换。</w:t>
      </w:r>
    </w:p>
    <w:p>
      <w:pPr>
        <w:pStyle w:val="null3"/>
        <w:ind w:firstLine="472"/>
        <w:jc w:val="both"/>
      </w:pPr>
      <w:r>
        <w:rPr>
          <w:sz w:val="20"/>
        </w:rPr>
        <w:t>④线路维护：中标人定期检查路灯的线路是否完好，包括电缆是否老化或破损，连接是否良好，需要及时修复或更换有问题的线路。</w:t>
      </w:r>
    </w:p>
    <w:p>
      <w:pPr>
        <w:pStyle w:val="null3"/>
        <w:ind w:firstLine="472"/>
        <w:jc w:val="both"/>
      </w:pPr>
      <w:r>
        <w:rPr>
          <w:sz w:val="20"/>
        </w:rPr>
        <w:t>⑤故障修复：中标人针对路灯故障，如灯不亮、闪烁等问题，进行快速的故障定位和修复，确保路灯的正常运行。</w:t>
      </w:r>
    </w:p>
    <w:p>
      <w:pPr>
        <w:pStyle w:val="null3"/>
        <w:ind w:firstLine="472"/>
        <w:jc w:val="both"/>
      </w:pPr>
      <w:r>
        <w:rPr>
          <w:sz w:val="20"/>
        </w:rPr>
        <w:t>⑥数据管理：中标人建立路灯维护的数据管理系统，记录巡检和维护的情况，包括故障记录、维修记录、维护计划等，用于分析和改进维护管理工作。</w:t>
      </w:r>
    </w:p>
    <w:p>
      <w:pPr>
        <w:pStyle w:val="null3"/>
        <w:ind w:firstLine="472"/>
        <w:jc w:val="both"/>
      </w:pPr>
      <w:r>
        <w:rPr>
          <w:sz w:val="21"/>
        </w:rPr>
        <w:t>★</w:t>
      </w:r>
      <w:r>
        <w:rPr>
          <w:sz w:val="20"/>
          <w:b/>
        </w:rPr>
        <w:t>（</w:t>
      </w:r>
      <w:r>
        <w:rPr>
          <w:sz w:val="20"/>
          <w:b/>
        </w:rPr>
        <w:t>12</w:t>
      </w:r>
      <w:r>
        <w:rPr>
          <w:sz w:val="20"/>
          <w:b/>
        </w:rPr>
        <w:t>）为方便日常能源托管服务工作及突发情况即时有效应对，投标人中标后应对突发情况：承诺接到通知后</w:t>
      </w:r>
      <w:r>
        <w:rPr>
          <w:sz w:val="20"/>
          <w:b/>
        </w:rPr>
        <w:t>1</w:t>
      </w:r>
      <w:r>
        <w:rPr>
          <w:sz w:val="20"/>
          <w:b/>
        </w:rPr>
        <w:t>小时（含）内响应，</w:t>
      </w:r>
      <w:r>
        <w:rPr>
          <w:sz w:val="20"/>
          <w:b/>
        </w:rPr>
        <w:t>2</w:t>
      </w:r>
      <w:r>
        <w:rPr>
          <w:sz w:val="20"/>
          <w:b/>
        </w:rPr>
        <w:t>小时（含）内到现场并解决。</w:t>
      </w:r>
      <w:r>
        <w:rPr>
          <w:sz w:val="21"/>
          <w:b/>
        </w:rPr>
        <w:t>（投标文件中提供承诺函并加盖公章，承诺函格式自拟）</w:t>
      </w:r>
      <w:r>
        <w:rPr/>
        <w:t>（</w:t>
      </w:r>
      <w:r>
        <w:rPr/>
        <w:t>如联合体投标，</w:t>
      </w:r>
      <w:r>
        <w:rPr/>
        <w:t>联合体</w:t>
      </w:r>
      <w:r>
        <w:rPr/>
        <w:t>牵头单位提供</w:t>
      </w:r>
      <w:r>
        <w:rPr/>
        <w:t>）</w:t>
      </w:r>
    </w:p>
    <w:p>
      <w:pPr>
        <w:pStyle w:val="null3"/>
        <w:ind w:firstLine="472"/>
        <w:jc w:val="both"/>
      </w:pPr>
      <w:r>
        <w:rPr>
          <w:sz w:val="21"/>
          <w:b/>
        </w:rPr>
        <w:t>★</w:t>
      </w:r>
      <w:r>
        <w:rPr>
          <w:sz w:val="21"/>
          <w:b/>
        </w:rPr>
        <w:t>(13)</w:t>
      </w:r>
      <w:r>
        <w:rPr>
          <w:sz w:val="21"/>
          <w:b/>
        </w:rPr>
        <w:t>投标人须承诺：在合同签订后</w:t>
      </w:r>
      <w:r>
        <w:rPr>
          <w:sz w:val="21"/>
          <w:b/>
        </w:rPr>
        <w:t>60</w:t>
      </w:r>
      <w:r>
        <w:rPr>
          <w:sz w:val="21"/>
          <w:b/>
        </w:rPr>
        <w:t>天内在符合国家法律法规基础上在中山市古镇镇辖区范围设立专门服务于本项目的服务机构。（投标文件中提供承诺函并加盖公章，承诺函格式自拟）</w:t>
      </w:r>
      <w:r>
        <w:rPr/>
        <w:t>（</w:t>
      </w:r>
      <w:r>
        <w:rPr/>
        <w:t>如联合体投标，</w:t>
      </w:r>
      <w:r>
        <w:rPr/>
        <w:t>联合体</w:t>
      </w:r>
      <w:r>
        <w:rPr/>
        <w:t>牵头单位提供</w:t>
      </w:r>
      <w:r>
        <w:rPr/>
        <w:t>）</w:t>
      </w:r>
    </w:p>
    <w:p>
      <w:pPr>
        <w:pStyle w:val="null3"/>
        <w:ind w:firstLine="472"/>
        <w:jc w:val="both"/>
      </w:pPr>
      <w:r>
        <w:rPr>
          <w:sz w:val="21"/>
          <w:b/>
        </w:rPr>
        <w:t>★</w:t>
      </w:r>
      <w:r>
        <w:rPr>
          <w:sz w:val="21"/>
          <w:b/>
        </w:rPr>
        <w:t>(14)</w:t>
      </w:r>
      <w:r>
        <w:rPr>
          <w:sz w:val="21"/>
          <w:b/>
        </w:rPr>
        <w:t>投标人须承诺：政府及镇属企业物业包括但不限于政府一、二办区、古镇灯饰大厦、苏炳添体育馆、人民广场、湿地公园、文化公园、会展中心、旧工商局大楼、古镇人民医院等外立面灯光纳入日常维护。（投标文件中提供承诺函并加盖公章，承诺函格式自拟）</w:t>
      </w:r>
      <w:r>
        <w:rPr/>
        <w:t>（</w:t>
      </w:r>
      <w:r>
        <w:rPr/>
        <w:t>如联合体投标，</w:t>
      </w:r>
      <w:r>
        <w:rPr/>
        <w:t>联合体</w:t>
      </w:r>
      <w:r>
        <w:rPr/>
        <w:t>牵头单位提供</w:t>
      </w:r>
      <w:r>
        <w:rPr/>
        <w:t>）</w:t>
      </w:r>
    </w:p>
    <w:p>
      <w:pPr>
        <w:pStyle w:val="null3"/>
        <w:ind w:firstLine="472"/>
        <w:jc w:val="both"/>
      </w:pPr>
      <w:r>
        <w:rPr>
          <w:b/>
        </w:rPr>
        <w:t>九、项目回报机制</w:t>
      </w:r>
    </w:p>
    <w:p>
      <w:pPr>
        <w:pStyle w:val="null3"/>
        <w:ind w:firstLine="472"/>
        <w:jc w:val="both"/>
      </w:pPr>
      <w:r>
        <w:rPr>
          <w:sz w:val="20"/>
        </w:rPr>
        <w:t>采购人根据能源基准确定的费用支付给中标人作为托管服务费用，中标人通过科学的管理运行和节能技术的应用达到节约能源资源、减少费用支出等目的，获取合理的利润。本项目托管期满后，中标人将项目无偿、完好地移交给采购人或政府指定部门。</w:t>
      </w:r>
    </w:p>
    <w:p>
      <w:pPr>
        <w:pStyle w:val="null3"/>
        <w:ind w:firstLine="402"/>
        <w:jc w:val="both"/>
      </w:pPr>
      <w:r>
        <w:rPr>
          <w:b/>
        </w:rPr>
        <w:t>十、安装要求</w:t>
      </w:r>
    </w:p>
    <w:p>
      <w:pPr>
        <w:pStyle w:val="null3"/>
        <w:ind w:firstLine="472"/>
        <w:jc w:val="both"/>
      </w:pPr>
      <w:r>
        <w:rPr>
          <w:sz w:val="20"/>
        </w:rPr>
        <w:t>1</w:t>
      </w:r>
      <w:r>
        <w:rPr>
          <w:sz w:val="20"/>
        </w:rPr>
        <w:t>、施工周期：自合同签订之日</w:t>
      </w:r>
      <w:r>
        <w:rPr>
          <w:sz w:val="20"/>
        </w:rPr>
        <w:t>2.5</w:t>
      </w:r>
      <w:r>
        <w:rPr>
          <w:sz w:val="20"/>
        </w:rPr>
        <w:t>个月内完成升级、调试、检测并竣工验收合格。</w:t>
      </w:r>
    </w:p>
    <w:p>
      <w:pPr>
        <w:pStyle w:val="null3"/>
        <w:ind w:firstLine="472"/>
        <w:jc w:val="both"/>
      </w:pPr>
      <w:r>
        <w:rPr>
          <w:sz w:val="20"/>
        </w:rPr>
        <w:t>2</w:t>
      </w:r>
      <w:r>
        <w:rPr>
          <w:sz w:val="20"/>
        </w:rPr>
        <w:t>、中标单位在收到中标通知书后</w:t>
      </w:r>
      <w:r>
        <w:rPr>
          <w:sz w:val="20"/>
        </w:rPr>
        <w:t>15</w:t>
      </w:r>
      <w:r>
        <w:rPr>
          <w:sz w:val="20"/>
        </w:rPr>
        <w:t>个工作日内，对项目整体方案及施工组织设计报采购单位审核，由采购单位认可后方可实施；整体方案包含但不限于升级设计方案、施工方案、进度计划、施工人员持证上岗证件要求、维护保修、技术支持方案、故障应急预案、故障处理流程、安全文明作业防护等内容；施工前向相关部门做好申报备案，并按相关部门审批要求做好现场管理工作；施工期间，接受采购单位及相关单位现场督导；采用当日拆除当日恢复的原则进行施工，拆除的旧设施不得直接堆放在现场。（拆除后旧设施存放在采购人指定位置）</w:t>
      </w:r>
    </w:p>
    <w:p>
      <w:pPr>
        <w:pStyle w:val="null3"/>
        <w:ind w:firstLine="472"/>
        <w:jc w:val="both"/>
      </w:pPr>
      <w:r>
        <w:rPr>
          <w:sz w:val="20"/>
        </w:rPr>
        <w:t>3</w:t>
      </w:r>
      <w:r>
        <w:rPr>
          <w:sz w:val="20"/>
        </w:rPr>
        <w:t>、安装作业开始前针对每条路深化定制二次配光方案，确保照度、均匀度、眩光等参数达到采购要求；如遇异型灯具按采购单位要求单独定制。</w:t>
      </w:r>
    </w:p>
    <w:p>
      <w:pPr>
        <w:pStyle w:val="null3"/>
        <w:ind w:firstLine="472"/>
        <w:jc w:val="both"/>
      </w:pPr>
      <w:r>
        <w:rPr>
          <w:sz w:val="20"/>
        </w:rPr>
        <w:t>4</w:t>
      </w:r>
      <w:r>
        <w:rPr>
          <w:sz w:val="20"/>
        </w:rPr>
        <w:t>、安装前需提供与所投灯具一致的出厂产品合格证、产品说明书、产品质量保证书等相关材料供采购单位审核，审核通过后方可进行安装作业。</w:t>
      </w:r>
    </w:p>
    <w:p>
      <w:pPr>
        <w:pStyle w:val="null3"/>
        <w:ind w:firstLine="472"/>
        <w:jc w:val="both"/>
      </w:pPr>
      <w:r>
        <w:rPr>
          <w:sz w:val="20"/>
        </w:rPr>
        <w:t>5</w:t>
      </w:r>
      <w:r>
        <w:rPr>
          <w:sz w:val="20"/>
        </w:rPr>
        <w:t>、安装过程中严格遵守国家、省级、中山市的相关法律法规及制度要求；采取必要的安全防护措施，消除隐患；因投标单位管理或安全辅助措施不力造成周边环境破坏或事故的责任和因此发生的费用，由投标单位自行承担。</w:t>
      </w:r>
    </w:p>
    <w:p>
      <w:pPr>
        <w:pStyle w:val="null3"/>
        <w:ind w:firstLine="472"/>
        <w:jc w:val="both"/>
      </w:pPr>
      <w:r>
        <w:rPr>
          <w:sz w:val="20"/>
        </w:rPr>
        <w:t>6</w:t>
      </w:r>
      <w:r>
        <w:rPr>
          <w:sz w:val="20"/>
        </w:rPr>
        <w:t>、中标单位对安装的产品质量、安装队伍资质、安装质量及工程第三者责任负责。</w:t>
      </w:r>
    </w:p>
    <w:p>
      <w:pPr>
        <w:pStyle w:val="null3"/>
        <w:ind w:firstLine="472"/>
        <w:jc w:val="both"/>
      </w:pPr>
      <w:r>
        <w:rPr>
          <w:sz w:val="20"/>
        </w:rPr>
        <w:t>7</w:t>
      </w:r>
      <w:r>
        <w:rPr>
          <w:sz w:val="20"/>
        </w:rPr>
        <w:t>、运输安装等过程中严格遵守安全生产有关管理规定，严格按照安全标准组织实施，采取必要的安全防护措施，消除隐患。因中标单位管理或安全辅助措施不力造成周边环境破坏或事故责任等发生的一切费用，由中标单位承担。</w:t>
      </w:r>
    </w:p>
    <w:p>
      <w:pPr>
        <w:pStyle w:val="null3"/>
        <w:ind w:firstLine="472"/>
        <w:jc w:val="both"/>
      </w:pPr>
      <w:r>
        <w:rPr>
          <w:sz w:val="20"/>
        </w:rPr>
        <w:t>8</w:t>
      </w:r>
      <w:r>
        <w:rPr>
          <w:sz w:val="20"/>
        </w:rPr>
        <w:t>、运输安装过程中因中标单位的过失导致或者其他不可抗力造成的包含但不限于</w:t>
      </w:r>
      <w:r>
        <w:rPr>
          <w:sz w:val="20"/>
        </w:rPr>
        <w:t>LED</w:t>
      </w:r>
      <w:r>
        <w:rPr>
          <w:sz w:val="20"/>
        </w:rPr>
        <w:t>灯具、灯杆线路等设施设备损坏及第三方损失，均由中标单位承担责任及费用。</w:t>
      </w:r>
    </w:p>
    <w:p>
      <w:pPr>
        <w:pStyle w:val="null3"/>
        <w:spacing w:before="180"/>
        <w:ind w:left="150"/>
        <w:jc w:val="both"/>
      </w:pPr>
      <w:r>
        <w:rPr>
          <w:sz w:val="20"/>
          <w:b/>
        </w:rPr>
        <w:t>十一、</w:t>
      </w:r>
      <w:r>
        <w:rPr>
          <w:sz w:val="24"/>
          <w:b/>
        </w:rPr>
        <w:t>验收标准</w:t>
      </w:r>
    </w:p>
    <w:p>
      <w:pPr>
        <w:pStyle w:val="null3"/>
        <w:jc w:val="both"/>
      </w:pPr>
      <w:r>
        <w:rPr>
          <w:sz w:val="20"/>
          <w:b/>
        </w:rPr>
        <w:t>（一）首次安装使用验收</w:t>
      </w:r>
    </w:p>
    <w:p>
      <w:pPr>
        <w:pStyle w:val="null3"/>
        <w:ind w:firstLine="472"/>
        <w:jc w:val="both"/>
      </w:pPr>
      <w:r>
        <w:rPr>
          <w:sz w:val="20"/>
        </w:rPr>
        <w:t>1</w:t>
      </w:r>
      <w:r>
        <w:rPr>
          <w:sz w:val="20"/>
        </w:rPr>
        <w:t>、按路段内容采取分路段技术验收方式和在技术验收基础上的一次性工程整体验收方式。</w:t>
      </w:r>
    </w:p>
    <w:p>
      <w:pPr>
        <w:pStyle w:val="null3"/>
        <w:ind w:firstLine="472"/>
        <w:jc w:val="both"/>
      </w:pPr>
      <w:r>
        <w:rPr>
          <w:sz w:val="20"/>
        </w:rPr>
        <w:t>2</w:t>
      </w:r>
      <w:r>
        <w:rPr>
          <w:sz w:val="20"/>
        </w:rPr>
        <w:t>、所有道路升级完成后由采购单位选定第三方检测机构对灯具各项指标、道路照明各项指标进行测试并记录</w:t>
      </w:r>
      <w:r>
        <w:rPr>
          <w:sz w:val="20"/>
        </w:rPr>
        <w:t>(</w:t>
      </w:r>
      <w:r>
        <w:rPr>
          <w:sz w:val="20"/>
        </w:rPr>
        <w:t>第三方检测机构检测费用由中标单位支付）；如改造达不到招标文件、投标文件和最新国家相关标准要求，中标单位应及时进行整改；整改合格后，由第三方检测机构出具报告，双方签字确认，作为计算节能收益和确定照明质量基准的依据；中标单位提交项目竣工报告，采购单位收到项目竣工报告后</w:t>
      </w:r>
      <w:r>
        <w:rPr>
          <w:sz w:val="20"/>
        </w:rPr>
        <w:t>30</w:t>
      </w:r>
      <w:r>
        <w:rPr>
          <w:sz w:val="20"/>
        </w:rPr>
        <w:t>天内组织一次性工程整体验收。每年必须委托第三方检测机构对托管范围内的灯具进行抽检。</w:t>
      </w:r>
    </w:p>
    <w:p>
      <w:pPr>
        <w:pStyle w:val="null3"/>
        <w:ind w:firstLine="472"/>
        <w:jc w:val="both"/>
      </w:pPr>
      <w:r>
        <w:rPr>
          <w:sz w:val="20"/>
        </w:rPr>
        <w:t>3</w:t>
      </w:r>
      <w:r>
        <w:rPr>
          <w:sz w:val="20"/>
        </w:rPr>
        <w:t>、施工安装按照《城市道路照明工程施工及验收规程》（</w:t>
      </w:r>
      <w:r>
        <w:rPr>
          <w:sz w:val="20"/>
        </w:rPr>
        <w:t>CJJ89-2012</w:t>
      </w:r>
      <w:r>
        <w:rPr>
          <w:sz w:val="20"/>
        </w:rPr>
        <w:t>）对中标单位施工部分进行验收，各项指标符合招标文件、投标文件和最新国家相关标准。</w:t>
      </w:r>
    </w:p>
    <w:p>
      <w:pPr>
        <w:pStyle w:val="null3"/>
        <w:ind w:firstLine="472"/>
        <w:jc w:val="both"/>
      </w:pPr>
      <w:r>
        <w:rPr>
          <w:sz w:val="20"/>
        </w:rPr>
        <w:t>4</w:t>
      </w:r>
      <w:r>
        <w:rPr>
          <w:sz w:val="20"/>
        </w:rPr>
        <w:t>、整体验收完成后双方共同签署竣工验收报告，同时次月起开始计算投资回报期及质量保证期。</w:t>
      </w:r>
    </w:p>
    <w:p>
      <w:pPr>
        <w:pStyle w:val="null3"/>
        <w:ind w:firstLine="472"/>
        <w:jc w:val="both"/>
      </w:pPr>
      <w:r>
        <w:rPr>
          <w:sz w:val="20"/>
          <w:b/>
        </w:rPr>
        <w:t>（二）节能改造验收标准</w:t>
      </w:r>
    </w:p>
    <w:p>
      <w:pPr>
        <w:pStyle w:val="null3"/>
        <w:ind w:firstLine="472"/>
        <w:jc w:val="both"/>
      </w:pPr>
      <w:r>
        <w:rPr>
          <w:sz w:val="20"/>
        </w:rPr>
        <w:t>1</w:t>
      </w:r>
      <w:r>
        <w:rPr>
          <w:sz w:val="20"/>
        </w:rPr>
        <w:t>、改造后</w:t>
      </w:r>
      <w:r>
        <w:rPr>
          <w:sz w:val="20"/>
        </w:rPr>
        <w:t>LED</w:t>
      </w:r>
      <w:r>
        <w:rPr>
          <w:sz w:val="20"/>
        </w:rPr>
        <w:t>灯具数量不少于</w:t>
      </w:r>
      <w:r>
        <w:rPr>
          <w:sz w:val="20"/>
        </w:rPr>
        <w:t>11000</w:t>
      </w:r>
      <w:r>
        <w:rPr>
          <w:sz w:val="20"/>
        </w:rPr>
        <w:t>头，灯具参数及性能配置要求应达到成交人的投标文件承诺标准。改造后</w:t>
      </w:r>
      <w:r>
        <w:rPr>
          <w:sz w:val="20"/>
        </w:rPr>
        <w:t>LED</w:t>
      </w:r>
      <w:r>
        <w:rPr>
          <w:sz w:val="20"/>
        </w:rPr>
        <w:t>灯具功率与改造前高压钠、</w:t>
      </w:r>
      <w:r>
        <w:rPr>
          <w:sz w:val="20"/>
        </w:rPr>
        <w:t>LED</w:t>
      </w:r>
      <w:r>
        <w:rPr>
          <w:sz w:val="20"/>
        </w:rPr>
        <w:t>灯功率降幅比例不超过</w:t>
      </w:r>
      <w:r>
        <w:rPr>
          <w:sz w:val="20"/>
        </w:rPr>
        <w:t>50%</w:t>
      </w:r>
      <w:r>
        <w:rPr>
          <w:sz w:val="20"/>
        </w:rPr>
        <w:t>。</w:t>
      </w:r>
    </w:p>
    <w:p>
      <w:pPr>
        <w:pStyle w:val="null3"/>
        <w:ind w:firstLine="472"/>
        <w:jc w:val="both"/>
      </w:pPr>
      <w:r>
        <w:rPr>
          <w:sz w:val="20"/>
        </w:rPr>
        <w:t>2</w:t>
      </w:r>
      <w:r>
        <w:rPr>
          <w:sz w:val="20"/>
        </w:rPr>
        <w:t>、控制系统实现照明设施信息采集（托管范围内城市照明设施全覆盖，内容包含灯杆编号、灯具功率、灯具技术参数、主电缆规格型号、变压器额定容量及负载率、地下管线及过街管线走向图、过街电源搭接点等信息形成综合信息网）、实现改造单灯控制</w:t>
      </w:r>
      <w:r>
        <w:rPr>
          <w:sz w:val="20"/>
        </w:rPr>
        <w:t>11000</w:t>
      </w:r>
      <w:r>
        <w:rPr>
          <w:sz w:val="20"/>
        </w:rPr>
        <w:t>个、外供电检测</w:t>
      </w:r>
      <w:r>
        <w:rPr>
          <w:sz w:val="20"/>
        </w:rPr>
        <w:t>120</w:t>
      </w:r>
      <w:r>
        <w:rPr>
          <w:sz w:val="20"/>
        </w:rPr>
        <w:t>个、漏电监测终端</w:t>
      </w:r>
      <w:r>
        <w:rPr>
          <w:sz w:val="20"/>
        </w:rPr>
        <w:t>120</w:t>
      </w:r>
      <w:r>
        <w:rPr>
          <w:sz w:val="20"/>
        </w:rPr>
        <w:t>个、路灯监控管理终端</w:t>
      </w:r>
      <w:r>
        <w:rPr>
          <w:sz w:val="20"/>
        </w:rPr>
        <w:t>120</w:t>
      </w:r>
      <w:r>
        <w:rPr>
          <w:sz w:val="20"/>
        </w:rPr>
        <w:t>个等功能。</w:t>
      </w:r>
    </w:p>
    <w:p>
      <w:pPr>
        <w:pStyle w:val="null3"/>
        <w:ind w:firstLine="472"/>
        <w:jc w:val="both"/>
      </w:pPr>
      <w:r>
        <w:rPr>
          <w:sz w:val="20"/>
        </w:rPr>
        <w:t>3</w:t>
      </w:r>
      <w:r>
        <w:rPr>
          <w:sz w:val="20"/>
        </w:rPr>
        <w:t>、照明控制系统升级改造后应实现一网统管、智慧控制，包括但不限于以下功能：区域开灯、分组开灯、间隔开灯等多种亮灯方式；智能运维、巡检等；城市照明资产普查及全寿命周期管理；开放源代码，可进行二次升级；控制中心机房搭建，服务器数据库本地化，服务器一主一备，监控主机一主一备，配备企业级防火墙，长效</w:t>
      </w:r>
      <w:r>
        <w:rPr>
          <w:sz w:val="20"/>
        </w:rPr>
        <w:t>UPS</w:t>
      </w:r>
      <w:r>
        <w:rPr>
          <w:sz w:val="20"/>
        </w:rPr>
        <w:t>。</w:t>
      </w:r>
    </w:p>
    <w:p>
      <w:pPr>
        <w:pStyle w:val="null3"/>
        <w:ind w:firstLine="472"/>
        <w:jc w:val="both"/>
      </w:pPr>
      <w:r>
        <w:rPr>
          <w:sz w:val="20"/>
        </w:rPr>
        <w:t>4</w:t>
      </w:r>
      <w:r>
        <w:rPr>
          <w:sz w:val="20"/>
        </w:rPr>
        <w:t>、改造后道路照明主要技术指标（照度、均匀度等）应达到《城市道路照明设计标准》（</w:t>
      </w:r>
      <w:r>
        <w:rPr>
          <w:sz w:val="20"/>
        </w:rPr>
        <w:t>CJJ45-2015</w:t>
      </w:r>
      <w:r>
        <w:rPr>
          <w:sz w:val="20"/>
        </w:rPr>
        <w:t>）要求的上限且满足《古镇节能改造产品技术参数》的要求，道路照明管养现状未达到上述标准的，改造后道路照明主要技术指标应达到上述标准；道路照明管养现状高于上述标准的，改造后道路照明主要技术指标不得低于道路照明管养现状。</w:t>
      </w:r>
    </w:p>
    <w:p>
      <w:pPr>
        <w:pStyle w:val="null3"/>
        <w:ind w:firstLine="472"/>
        <w:jc w:val="both"/>
      </w:pPr>
      <w:r>
        <w:rPr>
          <w:sz w:val="20"/>
        </w:rPr>
        <w:t>5</w:t>
      </w:r>
      <w:r>
        <w:rPr>
          <w:sz w:val="20"/>
        </w:rPr>
        <w:t>、节能改造是成交人为实现节能目标的必要工作，托管服务费已包含节能改造的成本和效益，采购人不再另行支付节能改造费用。</w:t>
      </w:r>
    </w:p>
    <w:p>
      <w:pPr>
        <w:pStyle w:val="null3"/>
        <w:ind w:firstLine="400"/>
        <w:jc w:val="left"/>
      </w:pPr>
      <w:r>
        <w:rPr>
          <w:sz w:val="20"/>
          <w:b/>
        </w:rPr>
        <w:t>十二、其他技术、服务等要求</w:t>
      </w:r>
    </w:p>
    <w:p>
      <w:pPr>
        <w:pStyle w:val="null3"/>
      </w:pPr>
      <w:r>
        <w:rPr>
          <w:sz w:val="20"/>
        </w:rPr>
        <w:t xml:space="preserve">       1</w:t>
      </w:r>
      <w:r>
        <w:rPr>
          <w:sz w:val="20"/>
        </w:rPr>
        <w:t>、成交人承担托管范围内城市照明设施管养维护工作。管养维护工作应达到如下标准：</w:t>
      </w:r>
    </w:p>
    <w:p>
      <w:pPr>
        <w:pStyle w:val="null3"/>
        <w:ind w:firstLine="472"/>
        <w:jc w:val="both"/>
      </w:pPr>
      <w:r>
        <w:rPr>
          <w:sz w:val="20"/>
        </w:rPr>
        <w:t>（</w:t>
      </w:r>
      <w:r>
        <w:rPr>
          <w:sz w:val="20"/>
        </w:rPr>
        <w:t>1</w:t>
      </w:r>
      <w:r>
        <w:rPr>
          <w:sz w:val="20"/>
        </w:rPr>
        <w:t>）全夜灯亮灯时长每年应不少于</w:t>
      </w:r>
      <w:r>
        <w:rPr>
          <w:sz w:val="20"/>
        </w:rPr>
        <w:t>4281</w:t>
      </w:r>
      <w:r>
        <w:rPr>
          <w:sz w:val="20"/>
        </w:rPr>
        <w:t>小时。</w:t>
      </w:r>
    </w:p>
    <w:p>
      <w:pPr>
        <w:pStyle w:val="null3"/>
        <w:ind w:firstLine="472"/>
        <w:jc w:val="both"/>
      </w:pPr>
      <w:r>
        <w:rPr>
          <w:sz w:val="20"/>
        </w:rPr>
        <w:t>（</w:t>
      </w:r>
      <w:r>
        <w:rPr>
          <w:sz w:val="20"/>
        </w:rPr>
        <w:t>2</w:t>
      </w:r>
      <w:r>
        <w:rPr>
          <w:sz w:val="20"/>
        </w:rPr>
        <w:t>）亮灯率不低于</w:t>
      </w:r>
      <w:r>
        <w:rPr>
          <w:sz w:val="20"/>
        </w:rPr>
        <w:t>97%</w:t>
      </w:r>
      <w:r>
        <w:rPr>
          <w:sz w:val="20"/>
        </w:rPr>
        <w:t>，设施完好率不低于</w:t>
      </w:r>
      <w:r>
        <w:rPr>
          <w:sz w:val="20"/>
        </w:rPr>
        <w:t>98%</w:t>
      </w:r>
      <w:r>
        <w:rPr>
          <w:sz w:val="20"/>
        </w:rPr>
        <w:t>，投诉件按时处置率不低于</w:t>
      </w:r>
      <w:r>
        <w:rPr>
          <w:sz w:val="20"/>
        </w:rPr>
        <w:t>100%.</w:t>
      </w:r>
    </w:p>
    <w:p>
      <w:pPr>
        <w:pStyle w:val="null3"/>
        <w:ind w:firstLine="472"/>
        <w:jc w:val="both"/>
      </w:pPr>
      <w:r>
        <w:rPr>
          <w:sz w:val="20"/>
        </w:rPr>
        <w:t>（</w:t>
      </w:r>
      <w:r>
        <w:rPr>
          <w:sz w:val="20"/>
        </w:rPr>
        <w:t>3</w:t>
      </w:r>
      <w:r>
        <w:rPr>
          <w:sz w:val="20"/>
        </w:rPr>
        <w:t>）保障城市照明设施正常运行、外观完整、干净整洁，对故障、破损的城市照明设施进行检修维护。在接到故障报修通知时，成交人应于</w:t>
      </w:r>
      <w:r>
        <w:rPr>
          <w:sz w:val="20"/>
        </w:rPr>
        <w:t>30</w:t>
      </w:r>
      <w:r>
        <w:rPr>
          <w:sz w:val="20"/>
        </w:rPr>
        <w:t>分钟内进行响应，并对故障原因进行分析，一般故障问题在</w:t>
      </w:r>
      <w:r>
        <w:rPr>
          <w:sz w:val="20"/>
        </w:rPr>
        <w:t>24</w:t>
      </w:r>
      <w:r>
        <w:rPr>
          <w:sz w:val="20"/>
        </w:rPr>
        <w:t>小时内解决，出现大面积灭灯情况应在</w:t>
      </w:r>
      <w:r>
        <w:rPr>
          <w:sz w:val="20"/>
        </w:rPr>
        <w:t>24</w:t>
      </w:r>
      <w:r>
        <w:rPr>
          <w:sz w:val="20"/>
        </w:rPr>
        <w:t>小时内组织应急抢修。</w:t>
      </w:r>
    </w:p>
    <w:p>
      <w:pPr>
        <w:pStyle w:val="null3"/>
        <w:ind w:firstLine="472"/>
        <w:jc w:val="both"/>
      </w:pPr>
      <w:r>
        <w:rPr>
          <w:sz w:val="20"/>
        </w:rPr>
        <w:t>（</w:t>
      </w:r>
      <w:r>
        <w:rPr>
          <w:sz w:val="20"/>
        </w:rPr>
        <w:t>4</w:t>
      </w:r>
      <w:r>
        <w:rPr>
          <w:sz w:val="20"/>
        </w:rPr>
        <w:t>）当更换灯具时，灯具连续燃点</w:t>
      </w:r>
      <w:r>
        <w:rPr>
          <w:sz w:val="20"/>
        </w:rPr>
        <w:t>3000</w:t>
      </w:r>
      <w:r>
        <w:rPr>
          <w:sz w:val="20"/>
        </w:rPr>
        <w:t>小时的光源光通维持率小于</w:t>
      </w:r>
      <w:r>
        <w:rPr>
          <w:sz w:val="20"/>
        </w:rPr>
        <w:t>96%</w:t>
      </w:r>
      <w:r>
        <w:rPr>
          <w:sz w:val="20"/>
        </w:rPr>
        <w:t>，灯具连续燃点</w:t>
      </w:r>
      <w:r>
        <w:rPr>
          <w:sz w:val="20"/>
        </w:rPr>
        <w:t>6000</w:t>
      </w:r>
      <w:r>
        <w:rPr>
          <w:sz w:val="20"/>
        </w:rPr>
        <w:t>小时的光源光通维持率小于</w:t>
      </w:r>
      <w:r>
        <w:rPr>
          <w:sz w:val="20"/>
        </w:rPr>
        <w:t>92%</w:t>
      </w:r>
      <w:r>
        <w:rPr>
          <w:sz w:val="20"/>
        </w:rPr>
        <w:t>情形时，成交人无条件更换不达标灯具直至符合合同约定。</w:t>
      </w:r>
    </w:p>
    <w:p>
      <w:pPr>
        <w:pStyle w:val="null3"/>
        <w:ind w:firstLine="472"/>
        <w:jc w:val="both"/>
      </w:pPr>
      <w:r>
        <w:rPr>
          <w:sz w:val="20"/>
        </w:rPr>
        <w:t>（</w:t>
      </w:r>
      <w:r>
        <w:rPr>
          <w:sz w:val="20"/>
        </w:rPr>
        <w:t>5</w:t>
      </w:r>
      <w:r>
        <w:rPr>
          <w:sz w:val="20"/>
        </w:rPr>
        <w:t>）合同履行期限内，保持城市照明设施主要技术指标（照度、均匀度等）达到《城市道路照明设计标准》（</w:t>
      </w:r>
      <w:r>
        <w:rPr>
          <w:sz w:val="20"/>
        </w:rPr>
        <w:t>CJJ45-2015</w:t>
      </w:r>
      <w:r>
        <w:rPr>
          <w:sz w:val="20"/>
        </w:rPr>
        <w:t>）要求的上限且满足《古镇节能改造产品技术参数》的要求。</w:t>
      </w:r>
    </w:p>
    <w:p>
      <w:pPr>
        <w:pStyle w:val="null3"/>
        <w:ind w:firstLine="472"/>
        <w:jc w:val="both"/>
      </w:pPr>
      <w:r>
        <w:rPr>
          <w:sz w:val="20"/>
        </w:rPr>
        <w:t>（</w:t>
      </w:r>
      <w:r>
        <w:rPr>
          <w:sz w:val="20"/>
        </w:rPr>
        <w:t>6</w:t>
      </w:r>
      <w:r>
        <w:rPr>
          <w:sz w:val="20"/>
        </w:rPr>
        <w:t>）照明控制系统应保持正常稳定运行、数据安全、信息更新及时。</w:t>
      </w:r>
    </w:p>
    <w:p>
      <w:pPr>
        <w:pStyle w:val="null3"/>
        <w:ind w:firstLine="472"/>
        <w:jc w:val="both"/>
      </w:pPr>
      <w:r>
        <w:rPr>
          <w:sz w:val="20"/>
        </w:rPr>
        <w:t>（</w:t>
      </w:r>
      <w:r>
        <w:rPr>
          <w:sz w:val="20"/>
        </w:rPr>
        <w:t>7</w:t>
      </w:r>
      <w:r>
        <w:rPr>
          <w:sz w:val="20"/>
        </w:rPr>
        <w:t>）配备设施设备、技术人员开展城市照明设施维护管养工作。关键技术岗位人员应按中标承诺配备相应的专业技术人员，原则上有关人员不允许随意更换，如有管理人员或关键技术岗位人员确需变动的，须提前</w:t>
      </w:r>
      <w:r>
        <w:rPr>
          <w:sz w:val="20"/>
        </w:rPr>
        <w:t>3</w:t>
      </w:r>
      <w:r>
        <w:rPr>
          <w:sz w:val="20"/>
        </w:rPr>
        <w:t>个月通知采购人，并按要求重新配备。</w:t>
      </w:r>
    </w:p>
    <w:p>
      <w:pPr>
        <w:pStyle w:val="null3"/>
        <w:ind w:firstLine="472"/>
        <w:jc w:val="both"/>
      </w:pPr>
      <w:r>
        <w:rPr>
          <w:sz w:val="20"/>
        </w:rPr>
        <w:t>（</w:t>
      </w:r>
      <w:r>
        <w:rPr>
          <w:sz w:val="20"/>
        </w:rPr>
        <w:t>8</w:t>
      </w:r>
      <w:r>
        <w:rPr>
          <w:sz w:val="20"/>
        </w:rPr>
        <w:t>）成交人应制定应急管理预案。遇到恶劣自然天气，如强降雨、台风、冰冻等情况，应第一时间安排工作人员到现场进行巡查，排除安全隐患，并向甲方进行通报。</w:t>
      </w:r>
    </w:p>
    <w:p>
      <w:pPr>
        <w:pStyle w:val="null3"/>
        <w:ind w:firstLine="472"/>
        <w:jc w:val="both"/>
      </w:pPr>
      <w:r>
        <w:rPr>
          <w:sz w:val="20"/>
        </w:rPr>
        <w:t>（</w:t>
      </w:r>
      <w:r>
        <w:rPr>
          <w:sz w:val="20"/>
        </w:rPr>
        <w:t>9</w:t>
      </w:r>
      <w:r>
        <w:rPr>
          <w:sz w:val="20"/>
        </w:rPr>
        <w:t>）完成采购人安排指派的与城市照明设施节能改造运行维护相关的其他工作。</w:t>
      </w:r>
    </w:p>
    <w:p>
      <w:pPr>
        <w:pStyle w:val="null3"/>
        <w:ind w:firstLine="472"/>
        <w:jc w:val="both"/>
      </w:pPr>
      <w:r>
        <w:rPr>
          <w:sz w:val="20"/>
        </w:rPr>
        <w:t>（</w:t>
      </w:r>
      <w:r>
        <w:rPr>
          <w:sz w:val="20"/>
        </w:rPr>
        <w:t>10</w:t>
      </w:r>
      <w:r>
        <w:rPr>
          <w:sz w:val="20"/>
        </w:rPr>
        <w:t>）具体管养维护及其他要求详见《</w:t>
      </w:r>
      <w:r>
        <w:rPr>
          <w:sz w:val="20"/>
        </w:rPr>
        <w:t>中山市古镇镇市政路灯改造项目</w:t>
      </w:r>
      <w:r>
        <w:rPr>
          <w:sz w:val="20"/>
        </w:rPr>
        <w:t>(</w:t>
      </w:r>
      <w:r>
        <w:rPr>
          <w:sz w:val="20"/>
        </w:rPr>
        <w:t>二次</w:t>
      </w:r>
      <w:r>
        <w:rPr>
          <w:sz w:val="20"/>
        </w:rPr>
        <w:t>)</w:t>
      </w:r>
      <w:r>
        <w:rPr>
          <w:sz w:val="20"/>
        </w:rPr>
        <w:t>合同书》。</w:t>
      </w:r>
    </w:p>
    <w:p>
      <w:pPr>
        <w:pStyle w:val="null3"/>
        <w:ind w:firstLine="472"/>
        <w:jc w:val="both"/>
      </w:pPr>
      <w:r>
        <w:rPr>
          <w:sz w:val="20"/>
        </w:rPr>
        <w:t>2</w:t>
      </w:r>
      <w:r>
        <w:rPr>
          <w:sz w:val="20"/>
        </w:rPr>
        <w:t>、采购人对成交人的管养维护工作进行考核，并根据考核结果支付托管服务费用。</w:t>
      </w:r>
    </w:p>
    <w:p>
      <w:pPr>
        <w:pStyle w:val="null3"/>
        <w:jc w:val="left"/>
      </w:pPr>
      <w:r>
        <w:rPr>
          <w:sz w:val="20"/>
          <w:b/>
        </w:rPr>
        <w:t>★十三、保险及责任承担</w:t>
      </w:r>
    </w:p>
    <w:p>
      <w:pPr>
        <w:pStyle w:val="null3"/>
        <w:ind w:firstLine="472"/>
        <w:jc w:val="both"/>
      </w:pPr>
      <w:r>
        <w:rPr>
          <w:sz w:val="20"/>
        </w:rPr>
        <w:t>1.</w:t>
      </w:r>
      <w:r>
        <w:rPr>
          <w:sz w:val="20"/>
        </w:rPr>
        <w:t>养护设备保险：中标人须在本次养护服务期间内负责其养护设备的保险。养护设备维护、保养、调试等均由中标人负责，确保每次维护设备使用性和安全性。</w:t>
      </w:r>
    </w:p>
    <w:p>
      <w:pPr>
        <w:pStyle w:val="null3"/>
        <w:ind w:firstLine="472"/>
        <w:jc w:val="both"/>
      </w:pPr>
      <w:r>
        <w:rPr>
          <w:sz w:val="20"/>
        </w:rPr>
        <w:t>2.</w:t>
      </w:r>
      <w:r>
        <w:rPr>
          <w:sz w:val="20"/>
        </w:rPr>
        <w:t>人身意外险：中标人负责其派出的现场服务人员人身意外保险，其费用包含在投标报价内，采购人不再另行支付。</w:t>
      </w:r>
    </w:p>
    <w:p>
      <w:pPr>
        <w:pStyle w:val="null3"/>
        <w:ind w:firstLine="472"/>
        <w:jc w:val="both"/>
      </w:pPr>
      <w:r>
        <w:rPr>
          <w:sz w:val="20"/>
        </w:rPr>
        <w:t>3.</w:t>
      </w:r>
      <w:r>
        <w:rPr>
          <w:sz w:val="20"/>
        </w:rPr>
        <w:t>公众责任险：中标人必须为该项目购买公众责任险，其费用包含在投标报价内，采购人不再另行支付。由于路灯漏电、坠落倒塌等事故造成公众意外伤害的，必须由中标人承担全部责任。</w:t>
      </w:r>
      <w:r>
        <w:rPr/>
        <w:t>（</w:t>
      </w:r>
      <w:r>
        <w:rPr/>
        <w:t>如联合体投标，</w:t>
      </w:r>
      <w:r>
        <w:rPr/>
        <w:t>联合体</w:t>
      </w:r>
      <w:r>
        <w:rPr/>
        <w:t>牵头单位提供</w:t>
      </w:r>
      <w:r>
        <w:rPr/>
        <w:t>）</w:t>
      </w:r>
    </w:p>
    <w:p>
      <w:pPr>
        <w:pStyle w:val="null3"/>
        <w:jc w:val="left"/>
      </w:pPr>
      <w:r>
        <w:rPr>
          <w:sz w:val="20"/>
          <w:b/>
        </w:rPr>
        <w:t>十四、采购人配合事项</w:t>
      </w:r>
    </w:p>
    <w:p>
      <w:pPr>
        <w:pStyle w:val="null3"/>
      </w:pPr>
      <w:r>
        <w:rPr>
          <w:sz w:val="20"/>
        </w:rPr>
        <w:t>中标人在投标文件中要列明在项目实施过程中要求采购人提供的配合条件，所列配合条件采购人将尽量配合解决，但不代表采购人全部接受，采购人有权全部或部分拒绝投标人提出的配合条件。</w:t>
      </w:r>
    </w:p>
    <w:p>
      <w:pPr>
        <w:pStyle w:val="null3"/>
        <w:jc w:val="both"/>
      </w:pPr>
      <w:r>
        <w:rPr>
          <w:sz w:val="20"/>
          <w:b/>
        </w:rPr>
        <w:t>十五、项目绩效考核方案</w:t>
      </w:r>
    </w:p>
    <w:p>
      <w:pPr>
        <w:pStyle w:val="null3"/>
        <w:ind w:firstLine="472"/>
        <w:jc w:val="both"/>
      </w:pPr>
      <w:r>
        <w:rPr>
          <w:sz w:val="20"/>
          <w:b/>
        </w:rPr>
        <w:t>（一）总则</w:t>
      </w:r>
    </w:p>
    <w:p>
      <w:pPr>
        <w:pStyle w:val="null3"/>
        <w:ind w:firstLine="472"/>
        <w:jc w:val="both"/>
      </w:pPr>
      <w:r>
        <w:rPr>
          <w:sz w:val="20"/>
        </w:rPr>
        <w:t>1.</w:t>
      </w:r>
      <w:r>
        <w:rPr>
          <w:sz w:val="20"/>
        </w:rPr>
        <w:t>绩效考核原则</w:t>
      </w:r>
    </w:p>
    <w:p>
      <w:pPr>
        <w:pStyle w:val="null3"/>
        <w:ind w:firstLine="472"/>
        <w:jc w:val="both"/>
      </w:pPr>
      <w:r>
        <w:rPr>
          <w:sz w:val="20"/>
        </w:rPr>
        <w:t>绩效考核方案应坚持</w:t>
      </w:r>
      <w:r>
        <w:rPr>
          <w:sz w:val="20"/>
        </w:rPr>
        <w:t>“公开、公平、公正，实事求是，科学全面”的原则，以科学调研为基础，以量化指标为依托，通过多调研、多收集、多分析，科学合理评测出绩效考核绩效评分。</w:t>
      </w:r>
    </w:p>
    <w:p>
      <w:pPr>
        <w:pStyle w:val="null3"/>
        <w:ind w:firstLine="472"/>
        <w:jc w:val="both"/>
      </w:pPr>
      <w:r>
        <w:rPr>
          <w:sz w:val="20"/>
        </w:rPr>
        <w:t>2.</w:t>
      </w:r>
      <w:r>
        <w:rPr>
          <w:sz w:val="20"/>
        </w:rPr>
        <w:t>绩效考核时间及周期</w:t>
      </w:r>
    </w:p>
    <w:p>
      <w:pPr>
        <w:pStyle w:val="null3"/>
        <w:ind w:firstLine="472"/>
        <w:jc w:val="both"/>
      </w:pPr>
      <w:r>
        <w:rPr>
          <w:sz w:val="20"/>
        </w:rPr>
        <w:t>绩效考核周期：采用定期考核和临时考核相结合的方式开展。</w:t>
      </w:r>
    </w:p>
    <w:p>
      <w:pPr>
        <w:pStyle w:val="null3"/>
        <w:ind w:firstLine="472"/>
        <w:jc w:val="both"/>
      </w:pPr>
      <w:r>
        <w:rPr>
          <w:sz w:val="20"/>
        </w:rPr>
        <w:t>3.</w:t>
      </w:r>
      <w:r>
        <w:rPr>
          <w:sz w:val="20"/>
        </w:rPr>
        <w:t>考核机构及职责分工</w:t>
      </w:r>
    </w:p>
    <w:p>
      <w:pPr>
        <w:pStyle w:val="null3"/>
        <w:ind w:firstLine="472"/>
        <w:jc w:val="both"/>
      </w:pPr>
      <w:r>
        <w:rPr>
          <w:sz w:val="20"/>
        </w:rPr>
        <w:t>（</w:t>
      </w:r>
      <w:r>
        <w:rPr>
          <w:sz w:val="20"/>
        </w:rPr>
        <w:t>1</w:t>
      </w:r>
      <w:r>
        <w:rPr>
          <w:sz w:val="20"/>
        </w:rPr>
        <w:t>）绩效考核小组</w:t>
      </w:r>
    </w:p>
    <w:p>
      <w:pPr>
        <w:pStyle w:val="null3"/>
        <w:ind w:firstLine="472"/>
        <w:jc w:val="both"/>
      </w:pPr>
      <w:r>
        <w:rPr>
          <w:sz w:val="20"/>
        </w:rPr>
        <w:t>绩效考核小组由采购单位牵头成立考核小组。</w:t>
      </w:r>
    </w:p>
    <w:p>
      <w:pPr>
        <w:pStyle w:val="null3"/>
        <w:ind w:firstLine="472"/>
        <w:jc w:val="both"/>
      </w:pPr>
      <w:r>
        <w:rPr>
          <w:sz w:val="20"/>
        </w:rPr>
        <w:t>（</w:t>
      </w:r>
      <w:r>
        <w:rPr>
          <w:sz w:val="20"/>
        </w:rPr>
        <w:t>2</w:t>
      </w:r>
      <w:r>
        <w:rPr>
          <w:sz w:val="20"/>
        </w:rPr>
        <w:t>）职责分工</w:t>
      </w:r>
    </w:p>
    <w:p>
      <w:pPr>
        <w:pStyle w:val="null3"/>
        <w:ind w:firstLine="472"/>
        <w:jc w:val="both"/>
      </w:pPr>
      <w:r>
        <w:rPr>
          <w:sz w:val="20"/>
        </w:rPr>
        <w:t>采购单位发起项目绩效考核工作，派人担任绩效考核领导小组组长；</w:t>
      </w:r>
    </w:p>
    <w:p>
      <w:pPr>
        <w:pStyle w:val="null3"/>
        <w:ind w:firstLine="472"/>
        <w:jc w:val="both"/>
      </w:pPr>
      <w:r>
        <w:rPr>
          <w:sz w:val="20"/>
        </w:rPr>
        <w:t>绩效考核的考评人员由采购单位</w:t>
      </w:r>
      <w:r>
        <w:rPr>
          <w:sz w:val="20"/>
        </w:rPr>
        <w:t>2-3</w:t>
      </w:r>
      <w:r>
        <w:rPr>
          <w:sz w:val="20"/>
        </w:rPr>
        <w:t>名，中标单位</w:t>
      </w:r>
      <w:r>
        <w:rPr>
          <w:sz w:val="20"/>
        </w:rPr>
        <w:t>1</w:t>
      </w:r>
      <w:r>
        <w:rPr>
          <w:sz w:val="20"/>
        </w:rPr>
        <w:t>名人员组成。</w:t>
      </w:r>
    </w:p>
    <w:p>
      <w:pPr>
        <w:pStyle w:val="null3"/>
        <w:ind w:firstLine="472"/>
        <w:jc w:val="both"/>
      </w:pPr>
      <w:r>
        <w:rPr>
          <w:sz w:val="20"/>
        </w:rPr>
        <w:t>4.</w:t>
      </w:r>
      <w:r>
        <w:rPr>
          <w:sz w:val="20"/>
        </w:rPr>
        <w:t>考核结果返送</w:t>
      </w:r>
    </w:p>
    <w:p>
      <w:pPr>
        <w:pStyle w:val="null3"/>
        <w:ind w:firstLine="472"/>
        <w:jc w:val="both"/>
      </w:pPr>
      <w:r>
        <w:rPr>
          <w:sz w:val="20"/>
        </w:rPr>
        <w:t>每次考核结束后采购单位均需将考核结果（同时附上扣分原因及事件发生日期和相关的书面通知原件）发送中标单位。如果中标单位对考核结果有异议，需在接到考核结果通知</w:t>
      </w:r>
      <w:r>
        <w:rPr>
          <w:sz w:val="20"/>
        </w:rPr>
        <w:t>7</w:t>
      </w:r>
      <w:r>
        <w:rPr>
          <w:sz w:val="20"/>
        </w:rPr>
        <w:t>日内向采购单位提出偏差意见书面报告。</w:t>
      </w:r>
    </w:p>
    <w:p>
      <w:pPr>
        <w:pStyle w:val="null3"/>
        <w:ind w:firstLine="472"/>
        <w:jc w:val="both"/>
      </w:pPr>
      <w:r>
        <w:rPr>
          <w:sz w:val="20"/>
          <w:b/>
        </w:rPr>
        <w:t>（二）绩效考核指标及实施细则</w:t>
      </w:r>
    </w:p>
    <w:p>
      <w:pPr>
        <w:pStyle w:val="null3"/>
        <w:ind w:firstLine="472"/>
        <w:jc w:val="both"/>
      </w:pPr>
      <w:r>
        <w:rPr>
          <w:sz w:val="20"/>
        </w:rPr>
        <w:t>1</w:t>
      </w:r>
      <w:r>
        <w:rPr>
          <w:sz w:val="20"/>
        </w:rPr>
        <w:t>、绩效考核指标</w:t>
      </w:r>
    </w:p>
    <w:p>
      <w:pPr>
        <w:pStyle w:val="null3"/>
        <w:ind w:firstLine="472"/>
        <w:jc w:val="both"/>
      </w:pPr>
      <w:r>
        <w:rPr>
          <w:sz w:val="20"/>
        </w:rPr>
        <w:t>项目定期绩效考核指标及评分详见下表：</w:t>
      </w:r>
    </w:p>
    <w:tbl>
      <w:tblPr>
        <w:tblW w:w="0" w:type="auto"/>
        <w:tblBorders>
          <w:top w:val="none" w:color="000000" w:sz="4"/>
          <w:left w:val="none" w:color="000000" w:sz="4"/>
          <w:bottom w:val="none" w:color="000000" w:sz="4"/>
          <w:right w:val="none" w:color="000000" w:sz="4"/>
          <w:insideH w:val="none"/>
          <w:insideV w:val="none"/>
        </w:tblBorders>
      </w:tblPr>
      <w:tblGrid>
        <w:gridCol w:w="666"/>
        <w:gridCol w:w="1664"/>
        <w:gridCol w:w="893"/>
        <w:gridCol w:w="2950"/>
        <w:gridCol w:w="2133"/>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p>
            <w:pPr>
              <w:pStyle w:val="null3"/>
              <w:jc w:val="center"/>
            </w:pPr>
          </w:p>
        </w:tc>
        <w:tc>
          <w:tcPr>
            <w:tcW w:type="dxa" w:w="8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分值</w:t>
            </w:r>
          </w:p>
          <w:p>
            <w:pPr>
              <w:pStyle w:val="null3"/>
              <w:jc w:val="center"/>
            </w:pPr>
            <w:r>
              <w:rPr>
                <w:sz w:val="24"/>
                <w:b/>
              </w:rPr>
              <w:t>（分）</w:t>
            </w:r>
          </w:p>
        </w:tc>
        <w:tc>
          <w:tcPr>
            <w:tcW w:type="dxa" w:w="2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指标要求</w:t>
            </w:r>
          </w:p>
          <w:p>
            <w:pPr>
              <w:pStyle w:val="null3"/>
              <w:jc w:val="center"/>
            </w:pPr>
          </w:p>
        </w:tc>
        <w:tc>
          <w:tcPr>
            <w:tcW w:type="dxa" w:w="2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评分细则</w:t>
            </w:r>
          </w:p>
          <w:p>
            <w:pPr>
              <w:pStyle w:val="null3"/>
              <w:jc w:val="center"/>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设施运行维护</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亮灯率</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97%</w:t>
            </w:r>
            <w:r>
              <w:rPr>
                <w:sz w:val="21"/>
              </w:rPr>
              <w:t>以上，每次考核采用随机抽取路段方式，每次抽取路灯数量不低于路灯总数的</w:t>
            </w:r>
            <w:r>
              <w:rPr>
                <w:sz w:val="21"/>
              </w:rPr>
              <w:t>10%</w:t>
            </w:r>
            <w:r>
              <w:rPr>
                <w:sz w:val="21"/>
              </w:rPr>
              <w:t>。</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w:t>
            </w:r>
            <w:r>
              <w:rPr>
                <w:sz w:val="21"/>
              </w:rPr>
              <w:t>个百分点扣</w:t>
            </w:r>
            <w:r>
              <w:rPr>
                <w:sz w:val="21"/>
              </w:rPr>
              <w:t>1</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路灯设施完好率</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98%</w:t>
            </w:r>
            <w:r>
              <w:rPr>
                <w:sz w:val="21"/>
              </w:rPr>
              <w:t>以上，每次考核采用随机抽取路段方式，每次抽取路灯数量不低于路灯总数的</w:t>
            </w:r>
            <w:r>
              <w:rPr>
                <w:sz w:val="21"/>
              </w:rPr>
              <w:t>10%</w:t>
            </w:r>
            <w:r>
              <w:rPr>
                <w:sz w:val="21"/>
              </w:rPr>
              <w:t>。</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w:t>
            </w:r>
            <w:r>
              <w:rPr>
                <w:sz w:val="21"/>
              </w:rPr>
              <w:t>个百分点扣</w:t>
            </w:r>
            <w:r>
              <w:rPr>
                <w:sz w:val="21"/>
              </w:rPr>
              <w:t>1</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智慧化上线率</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智慧单灯控制器上线率应达到</w:t>
            </w:r>
            <w:r>
              <w:rPr>
                <w:sz w:val="21"/>
              </w:rPr>
              <w:t>95%</w:t>
            </w:r>
            <w:r>
              <w:rPr>
                <w:sz w:val="21"/>
              </w:rPr>
              <w:t>以上。</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每低于</w:t>
            </w:r>
            <w:r>
              <w:rPr>
                <w:sz w:val="21"/>
              </w:rPr>
              <w:t>1</w:t>
            </w:r>
            <w:r>
              <w:rPr>
                <w:sz w:val="21"/>
              </w:rPr>
              <w:t>个百分点扣</w:t>
            </w:r>
            <w:r>
              <w:rPr>
                <w:sz w:val="21"/>
              </w:rPr>
              <w:t>1</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故障处理率</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照明设施发生非正常亮灯、大面积熄灯、倒杆、灯具配电箱外壳带电、电器火灾等事故处理率必须达到</w:t>
            </w:r>
            <w:r>
              <w:rPr>
                <w:sz w:val="21"/>
              </w:rPr>
              <w:t>100%</w:t>
            </w:r>
            <w:r>
              <w:rPr>
                <w:sz w:val="21"/>
              </w:rPr>
              <w:t>。一般电器故障修复不超过</w:t>
            </w:r>
            <w:r>
              <w:rPr>
                <w:sz w:val="21"/>
              </w:rPr>
              <w:t>24</w:t>
            </w:r>
            <w:r>
              <w:rPr>
                <w:sz w:val="21"/>
              </w:rPr>
              <w:t>小时，较大事故处理不超过</w:t>
            </w:r>
            <w:r>
              <w:rPr>
                <w:sz w:val="21"/>
              </w:rPr>
              <w:t>48</w:t>
            </w:r>
            <w:r>
              <w:rPr>
                <w:sz w:val="21"/>
              </w:rPr>
              <w:t>小时（电源故障和需开挖道路抢修的除外</w:t>
            </w:r>
            <w:r>
              <w:rPr>
                <w:sz w:val="21"/>
              </w:rPr>
              <w:t>)</w:t>
            </w:r>
            <w:r>
              <w:rPr>
                <w:sz w:val="21"/>
              </w:rPr>
              <w:t>。</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事故处理超过规定时限，一次扣</w:t>
            </w:r>
            <w:r>
              <w:rPr>
                <w:sz w:val="21"/>
              </w:rPr>
              <w:t>0.5</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灯具保持整洁，光输出率不低于</w:t>
            </w:r>
            <w:r>
              <w:rPr>
                <w:sz w:val="21"/>
              </w:rPr>
              <w:t>0.6</w:t>
            </w:r>
            <w:r>
              <w:rPr>
                <w:sz w:val="21"/>
              </w:rPr>
              <w:t>，无损毁、安装稳固，部件完整，连接可靠，运行安全，符合原设计要求。</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1</w:t>
            </w:r>
            <w:r>
              <w:rPr>
                <w:sz w:val="21"/>
              </w:rPr>
              <w:t>处，扣</w:t>
            </w:r>
            <w:r>
              <w:rPr>
                <w:sz w:val="21"/>
              </w:rPr>
              <w:t>0.5</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灯杆（包括金属灯杆和钢筋混凝土灯杆</w:t>
            </w:r>
            <w:r>
              <w:rPr>
                <w:sz w:val="21"/>
              </w:rPr>
              <w:t>)</w:t>
            </w:r>
            <w:r>
              <w:rPr>
                <w:sz w:val="21"/>
              </w:rPr>
              <w:t>保持无倾斜、弯曲，垂直度不超过</w:t>
            </w:r>
            <w:r>
              <w:rPr>
                <w:sz w:val="21"/>
              </w:rPr>
              <w:t>2%</w:t>
            </w:r>
            <w:r>
              <w:rPr>
                <w:sz w:val="21"/>
              </w:rPr>
              <w:t>，安埋稳固、连接可靠，部件齐全，外观整洁，接地可靠有效。</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1</w:t>
            </w:r>
            <w:r>
              <w:rPr>
                <w:sz w:val="21"/>
              </w:rPr>
              <w:t>处，扣</w:t>
            </w:r>
            <w:r>
              <w:rPr>
                <w:sz w:val="21"/>
              </w:rPr>
              <w:t>0.5</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电力电缆电线</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电力电缆、电线绝缘良好，接地可靠，连接牢固，无断线、绞线、线路短路，无漏电，无接头过热现象，定期进行绝缘测试。</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w:t>
            </w:r>
            <w:r>
              <w:rPr>
                <w:sz w:val="21"/>
              </w:rPr>
              <w:t>1</w:t>
            </w:r>
            <w:r>
              <w:rPr>
                <w:sz w:val="21"/>
              </w:rPr>
              <w:t>处，扣</w:t>
            </w:r>
          </w:p>
          <w:p>
            <w:pPr>
              <w:pStyle w:val="null3"/>
              <w:jc w:val="left"/>
            </w:pPr>
            <w:r>
              <w:rPr>
                <w:sz w:val="21"/>
              </w:rPr>
              <w:t>0.5</w:t>
            </w: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配电箱保持平整稳固，箱体内外清洁，无异物，标志明显、齐全，出入箱导线连接良好，箱内电器工作正常，电器导线排列整齐、连接可靠，箱体无破损，箱门锁闭灵活有效，箱体接地可靠。</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发现</w:t>
            </w:r>
            <w:r>
              <w:rPr>
                <w:sz w:val="21"/>
              </w:rPr>
              <w:t>1</w:t>
            </w:r>
            <w:r>
              <w:rPr>
                <w:sz w:val="21"/>
              </w:rPr>
              <w:t>处，扣</w:t>
            </w:r>
            <w:r>
              <w:rPr>
                <w:sz w:val="21"/>
              </w:rPr>
              <w:t>0.5</w:t>
            </w:r>
          </w:p>
          <w:p>
            <w:pPr>
              <w:pStyle w:val="null3"/>
              <w:jc w:val="left"/>
            </w:pPr>
            <w:r>
              <w:rPr>
                <w:sz w:val="21"/>
              </w:rPr>
              <w:t>分，扣完为止。</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服务质量管理</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13</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人员配备及管理</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人员配备符合服务要求，管理员工作时应着工装，佩带统一标识、严格履</w:t>
            </w:r>
          </w:p>
          <w:p>
            <w:pPr>
              <w:pStyle w:val="null3"/>
              <w:jc w:val="left"/>
            </w:pPr>
            <w:r>
              <w:rPr>
                <w:sz w:val="21"/>
              </w:rPr>
              <w:t>行岗位职责、不擅离职守。</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管理员不履行职责的，每发现一次扣</w:t>
            </w:r>
            <w:r>
              <w:rPr>
                <w:sz w:val="21"/>
              </w:rPr>
              <w:t>0.5</w:t>
            </w:r>
            <w:r>
              <w:rPr>
                <w:sz w:val="21"/>
              </w:rPr>
              <w:t>分</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档案资料管理</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档案资料管理齐全。</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每发现一例材料缺失，扣</w:t>
            </w:r>
            <w:r>
              <w:rPr>
                <w:sz w:val="21"/>
              </w:rPr>
              <w:t>1</w:t>
            </w:r>
            <w:r>
              <w:rPr>
                <w:sz w:val="21"/>
              </w:rPr>
              <w:t>分。</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社会满意度</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需采取措施降低投诉率，提高社会满意度。</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经查实确因管理不善造成投诉的，每一例扣</w:t>
            </w:r>
            <w:r>
              <w:rPr>
                <w:sz w:val="21"/>
              </w:rPr>
              <w:t>1</w:t>
            </w:r>
            <w:r>
              <w:rPr>
                <w:sz w:val="21"/>
              </w:rPr>
              <w:t>分。</w:t>
            </w:r>
          </w:p>
          <w:p>
            <w:pPr>
              <w:pStyle w:val="null3"/>
              <w:jc w:val="left"/>
            </w:p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安全管理及突发事件管理</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巡查</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建立巡查制度，发现安全隐患的，应及时采取处理措施。建立日常巡查等工作记录。</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未建立巡查工作记录的扣</w:t>
            </w:r>
            <w:r>
              <w:rPr>
                <w:sz w:val="21"/>
              </w:rPr>
              <w:t>2</w:t>
            </w:r>
            <w:r>
              <w:rPr>
                <w:sz w:val="21"/>
              </w:rPr>
              <w:t>分。每发现一例安全隐患，未及时处理的，扣</w:t>
            </w:r>
            <w:r>
              <w:rPr>
                <w:sz w:val="21"/>
              </w:rPr>
              <w:t>1</w:t>
            </w:r>
            <w:r>
              <w:rPr>
                <w:sz w:val="21"/>
              </w:rPr>
              <w:t>分。</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突发事件管理</w:t>
            </w:r>
          </w:p>
          <w:p>
            <w:pPr>
              <w:pStyle w:val="null3"/>
              <w:jc w:val="left"/>
            </w:p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2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建立应急预案，并定期进行应急培训和演练；针对突发事件已经接受过足够训练的员工、必需的装备准备就位。</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未配备突发事件处理相关人员及装备的，每发现一处扣</w:t>
            </w:r>
            <w:r>
              <w:rPr>
                <w:sz w:val="21"/>
              </w:rPr>
              <w:t>1</w:t>
            </w:r>
            <w:r>
              <w:rPr>
                <w:sz w:val="21"/>
              </w:rPr>
              <w:t>分。</w:t>
            </w:r>
          </w:p>
          <w:p>
            <w:pPr>
              <w:pStyle w:val="null3"/>
              <w:jc w:val="left"/>
            </w:pPr>
          </w:p>
        </w:tc>
      </w:tr>
    </w:tbl>
    <w:p>
      <w:pPr>
        <w:pStyle w:val="null3"/>
        <w:jc w:val="both"/>
      </w:pPr>
      <w:r>
        <w:rPr>
          <w:sz w:val="20"/>
        </w:rPr>
        <w:t>2</w:t>
      </w:r>
      <w:r>
        <w:rPr>
          <w:sz w:val="20"/>
        </w:rPr>
        <w:t>、绩效考核实施细则</w:t>
      </w:r>
    </w:p>
    <w:p>
      <w:pPr>
        <w:pStyle w:val="null3"/>
        <w:ind w:firstLine="472"/>
        <w:jc w:val="both"/>
      </w:pPr>
      <w:r>
        <w:rPr>
          <w:sz w:val="20"/>
        </w:rPr>
        <w:t>项目临时绩效考核实施细则如下：</w:t>
      </w:r>
    </w:p>
    <w:p>
      <w:pPr>
        <w:pStyle w:val="null3"/>
        <w:jc w:val="both"/>
      </w:pPr>
      <w:r>
        <w:rPr>
          <w:sz w:val="20"/>
        </w:rPr>
        <w:t xml:space="preserve">2.1 </w:t>
      </w:r>
      <w:r>
        <w:rPr>
          <w:sz w:val="20"/>
        </w:rPr>
        <w:t>路灯巡检考核细则</w:t>
      </w:r>
    </w:p>
    <w:p>
      <w:pPr>
        <w:pStyle w:val="null3"/>
        <w:jc w:val="both"/>
      </w:pPr>
      <w:r>
        <w:rPr/>
        <w:t>(1)</w:t>
      </w:r>
      <w:r>
        <w:rPr>
          <w:sz w:val="20"/>
        </w:rPr>
        <w:t>每周至少对托管范围内的所有路灯巡检一次，主干道每周至少巡检两次。每周二前向采购单位提供上一周的巡检记录，巡检记录需将上周巡检内容及处理情况真实并详细反映。未按时报送的，每迟报一天扣减当月托管服务费</w:t>
      </w:r>
      <w:r>
        <w:rPr>
          <w:sz w:val="20"/>
        </w:rPr>
        <w:t>1000</w:t>
      </w:r>
      <w:r>
        <w:rPr>
          <w:sz w:val="20"/>
        </w:rPr>
        <w:t>元；经采购单位或采购单位上级单位发现漏检、缺检或记录与事实不符等问题，每发现一处扣减当月托管服务费</w:t>
      </w:r>
      <w:r>
        <w:rPr>
          <w:sz w:val="20"/>
        </w:rPr>
        <w:t>5000</w:t>
      </w:r>
      <w:r>
        <w:rPr>
          <w:sz w:val="20"/>
        </w:rPr>
        <w:t>元。</w:t>
      </w:r>
    </w:p>
    <w:p>
      <w:pPr>
        <w:pStyle w:val="null3"/>
        <w:jc w:val="both"/>
      </w:pPr>
      <w:r>
        <w:rPr/>
        <w:t>(2)</w:t>
      </w:r>
      <w:r>
        <w:rPr>
          <w:sz w:val="20"/>
        </w:rPr>
        <w:t>每月至少对托管范围内的灯杆、配电柜、变压器、电力电缆等设施巡检两次。对巡检内容进行详细记录，每月</w:t>
      </w:r>
      <w:r>
        <w:rPr>
          <w:sz w:val="20"/>
        </w:rPr>
        <w:t>15</w:t>
      </w:r>
      <w:r>
        <w:rPr>
          <w:sz w:val="20"/>
        </w:rPr>
        <w:t>日前和每月</w:t>
      </w:r>
      <w:r>
        <w:rPr>
          <w:sz w:val="20"/>
        </w:rPr>
        <w:t>30</w:t>
      </w:r>
      <w:r>
        <w:rPr>
          <w:sz w:val="20"/>
        </w:rPr>
        <w:t>日前向采购单位提供巡检记录。未按时报送的，每迟报一天扣减当月托管服务费</w:t>
      </w:r>
      <w:r>
        <w:rPr>
          <w:sz w:val="20"/>
        </w:rPr>
        <w:t>1000</w:t>
      </w:r>
      <w:r>
        <w:rPr>
          <w:sz w:val="20"/>
        </w:rPr>
        <w:t>元；由采购单位或采购单位上级单位发现漏检、缺检或记录与事实不符等问题，每发现一处扣减当月托管服务费</w:t>
      </w:r>
      <w:r>
        <w:rPr>
          <w:sz w:val="20"/>
        </w:rPr>
        <w:t>5000</w:t>
      </w:r>
      <w:r>
        <w:rPr>
          <w:sz w:val="20"/>
        </w:rPr>
        <w:t>元。</w:t>
      </w:r>
    </w:p>
    <w:p>
      <w:pPr>
        <w:pStyle w:val="null3"/>
        <w:jc w:val="both"/>
      </w:pPr>
      <w:r>
        <w:rPr/>
        <w:t>(3)</w:t>
      </w:r>
      <w:r>
        <w:rPr>
          <w:sz w:val="20"/>
        </w:rPr>
        <w:t>每年对路灯金属电杆的接地电阻测试一次，接地电阻不大于</w:t>
      </w:r>
      <w:r>
        <w:rPr>
          <w:sz w:val="20"/>
        </w:rPr>
        <w:t>4</w:t>
      </w:r>
      <w:r>
        <w:rPr>
          <w:sz w:val="20"/>
        </w:rPr>
        <w:t>Ω。每年</w:t>
      </w:r>
      <w:r>
        <w:rPr>
          <w:sz w:val="20"/>
        </w:rPr>
        <w:t>6</w:t>
      </w:r>
      <w:r>
        <w:rPr>
          <w:sz w:val="20"/>
        </w:rPr>
        <w:t>月</w:t>
      </w:r>
      <w:r>
        <w:rPr>
          <w:sz w:val="20"/>
        </w:rPr>
        <w:t>15</w:t>
      </w:r>
      <w:r>
        <w:rPr>
          <w:sz w:val="20"/>
        </w:rPr>
        <w:t>日前向采购单位提供巡检报告。未按时报送的，每迟报一天扣减当月托管服务费</w:t>
      </w:r>
      <w:r>
        <w:rPr>
          <w:sz w:val="20"/>
        </w:rPr>
        <w:t>1000</w:t>
      </w:r>
      <w:r>
        <w:rPr>
          <w:sz w:val="20"/>
        </w:rPr>
        <w:t>元；发现接地电阻不达标的，维修单位应于</w:t>
      </w:r>
      <w:r>
        <w:rPr>
          <w:sz w:val="20"/>
        </w:rPr>
        <w:t>30</w:t>
      </w:r>
      <w:r>
        <w:rPr>
          <w:sz w:val="20"/>
        </w:rPr>
        <w:t>日内修复并提供复检报告，晚一天扣减当月托管服务费</w:t>
      </w:r>
      <w:r>
        <w:rPr>
          <w:sz w:val="20"/>
        </w:rPr>
        <w:t>1000</w:t>
      </w:r>
      <w:r>
        <w:rPr>
          <w:sz w:val="20"/>
        </w:rPr>
        <w:t>元。</w:t>
      </w:r>
    </w:p>
    <w:p>
      <w:pPr>
        <w:pStyle w:val="null3"/>
        <w:jc w:val="both"/>
      </w:pPr>
      <w:r>
        <w:rPr/>
        <w:t>(4)</w:t>
      </w:r>
      <w:r>
        <w:rPr>
          <w:sz w:val="20"/>
        </w:rPr>
        <w:t>灯具整洁率（包括灯罩无积污、灯具灯调整齐、电源部分不外露等）若低于</w:t>
      </w:r>
      <w:r>
        <w:rPr>
          <w:sz w:val="20"/>
        </w:rPr>
        <w:t>95%</w:t>
      </w:r>
      <w:r>
        <w:rPr>
          <w:sz w:val="20"/>
        </w:rPr>
        <w:t>时，每低</w:t>
      </w:r>
      <w:r>
        <w:rPr>
          <w:sz w:val="20"/>
        </w:rPr>
        <w:t>1%</w:t>
      </w:r>
      <w:r>
        <w:rPr>
          <w:sz w:val="20"/>
        </w:rPr>
        <w:t>，扣减当月托管服务费</w:t>
      </w:r>
      <w:r>
        <w:rPr>
          <w:sz w:val="20"/>
        </w:rPr>
        <w:t>1000</w:t>
      </w:r>
      <w:r>
        <w:rPr>
          <w:sz w:val="20"/>
        </w:rPr>
        <w:t>元。</w:t>
      </w:r>
    </w:p>
    <w:p>
      <w:pPr>
        <w:pStyle w:val="null3"/>
        <w:jc w:val="both"/>
      </w:pPr>
      <w:r>
        <w:rPr/>
        <w:t>(5)</w:t>
      </w:r>
      <w:r>
        <w:rPr>
          <w:sz w:val="20"/>
        </w:rPr>
        <w:t>灯杆垂直度不合格超过</w:t>
      </w:r>
      <w:r>
        <w:rPr>
          <w:sz w:val="20"/>
        </w:rPr>
        <w:t>3%</w:t>
      </w:r>
      <w:r>
        <w:rPr>
          <w:sz w:val="20"/>
        </w:rPr>
        <w:t>的，则扣减当月托管服务费的</w:t>
      </w:r>
      <w:r>
        <w:rPr>
          <w:sz w:val="20"/>
        </w:rPr>
        <w:t>1%</w:t>
      </w:r>
      <w:r>
        <w:rPr>
          <w:sz w:val="20"/>
        </w:rPr>
        <w:t>，每低于</w:t>
      </w:r>
      <w:r>
        <w:rPr>
          <w:sz w:val="20"/>
        </w:rPr>
        <w:t>1%</w:t>
      </w:r>
      <w:r>
        <w:rPr>
          <w:sz w:val="20"/>
        </w:rPr>
        <w:t>，则相应扣减当月托管服务费的</w:t>
      </w:r>
      <w:r>
        <w:rPr>
          <w:sz w:val="20"/>
        </w:rPr>
        <w:t>5000</w:t>
      </w:r>
      <w:r>
        <w:rPr>
          <w:sz w:val="20"/>
        </w:rPr>
        <w:t>元。</w:t>
      </w:r>
    </w:p>
    <w:p>
      <w:pPr>
        <w:pStyle w:val="null3"/>
        <w:jc w:val="both"/>
      </w:pPr>
      <w:r>
        <w:rPr/>
        <w:t>(6)</w:t>
      </w:r>
      <w:r>
        <w:rPr>
          <w:sz w:val="20"/>
        </w:rPr>
        <w:t>发现工作人员不挂牌、不在岗、巡查不到位或上班睡觉、酒后值班、穿拖鞋、高跟鞋值班的一次扣减当月托管服务费的</w:t>
      </w:r>
      <w:r>
        <w:rPr>
          <w:sz w:val="20"/>
        </w:rPr>
        <w:t>1000</w:t>
      </w:r>
      <w:r>
        <w:rPr>
          <w:sz w:val="20"/>
        </w:rPr>
        <w:t>元。</w:t>
      </w:r>
    </w:p>
    <w:p>
      <w:pPr>
        <w:pStyle w:val="null3"/>
        <w:jc w:val="both"/>
      </w:pPr>
      <w:r>
        <w:rPr/>
        <w:t>(7)</w:t>
      </w:r>
      <w:r>
        <w:rPr>
          <w:sz w:val="20"/>
        </w:rPr>
        <w:t>经检查发现不按时填写或伪造值班记录的一次扣减当月托管服务费的</w:t>
      </w:r>
      <w:r>
        <w:rPr>
          <w:sz w:val="20"/>
        </w:rPr>
        <w:t>5000</w:t>
      </w:r>
      <w:r>
        <w:rPr>
          <w:sz w:val="20"/>
        </w:rPr>
        <w:t>元。</w:t>
      </w:r>
    </w:p>
    <w:p>
      <w:pPr>
        <w:pStyle w:val="null3"/>
        <w:jc w:val="both"/>
      </w:pPr>
      <w:r>
        <w:rPr/>
        <w:t>(8)</w:t>
      </w:r>
      <w:r>
        <w:rPr>
          <w:sz w:val="20"/>
        </w:rPr>
        <w:t>维护施工过程中，作业人员应严格执行安全操作规程操作（如电工作业必须配戴电工操作证上岗，高空作业必须配戴高空作业证上岗）。发现维护作业过程中施工人员未穿戴反光衣、安全帽，电工人员作业时未配戴电工操作证上岗，高空作业操作过程中施工人员未配戴高空作业证、安全带及没有设置路面安全标志的（施工前安放警示牌、警示标志、安全警示带等），每人次扣减当月托管服务费的</w:t>
      </w:r>
      <w:r>
        <w:rPr>
          <w:sz w:val="20"/>
        </w:rPr>
        <w:t>1000</w:t>
      </w:r>
      <w:r>
        <w:rPr>
          <w:sz w:val="20"/>
        </w:rPr>
        <w:t>元。</w:t>
      </w:r>
    </w:p>
    <w:p>
      <w:pPr>
        <w:pStyle w:val="null3"/>
        <w:jc w:val="both"/>
      </w:pPr>
      <w:r>
        <w:rPr/>
        <w:t>(9)</w:t>
      </w:r>
      <w:r>
        <w:rPr>
          <w:sz w:val="20"/>
        </w:rPr>
        <w:t>维修养护材料没有堆放整齐，或堆放时间超过</w:t>
      </w:r>
      <w:r>
        <w:rPr>
          <w:sz w:val="20"/>
        </w:rPr>
        <w:t>24</w:t>
      </w:r>
      <w:r>
        <w:rPr>
          <w:sz w:val="20"/>
        </w:rPr>
        <w:t>小时等原因，造成城区交通影响，一次扣减当月托管服务费的</w:t>
      </w:r>
      <w:r>
        <w:rPr>
          <w:sz w:val="20"/>
        </w:rPr>
        <w:t>5000</w:t>
      </w:r>
      <w:r>
        <w:rPr>
          <w:sz w:val="20"/>
        </w:rPr>
        <w:t>元。</w:t>
      </w:r>
    </w:p>
    <w:p>
      <w:pPr>
        <w:pStyle w:val="null3"/>
        <w:jc w:val="both"/>
      </w:pPr>
      <w:r>
        <w:rPr/>
        <w:t>(10)</w:t>
      </w:r>
      <w:r>
        <w:rPr>
          <w:sz w:val="20"/>
        </w:rPr>
        <w:t>本项目的机械设备和人员必须专用于本项目，如中标人未经采购人批准，不得擅自变更本项目的工作人员，或擅自将本维护项目的机械设备（车辆）用于其它工程或其他用途，否则每次每人扣减当月托管服务费的</w:t>
      </w:r>
      <w:r>
        <w:rPr>
          <w:sz w:val="20"/>
        </w:rPr>
        <w:t>5000</w:t>
      </w:r>
      <w:r>
        <w:rPr>
          <w:sz w:val="20"/>
        </w:rPr>
        <w:t>元，每次每台设备（车辆）扣减当月托管服务费的</w:t>
      </w:r>
      <w:r>
        <w:rPr>
          <w:sz w:val="20"/>
        </w:rPr>
        <w:t>1000</w:t>
      </w:r>
      <w:r>
        <w:rPr>
          <w:sz w:val="20"/>
        </w:rPr>
        <w:t>元，两项可同时扣罚。</w:t>
      </w:r>
    </w:p>
    <w:p>
      <w:pPr>
        <w:pStyle w:val="null3"/>
        <w:jc w:val="both"/>
      </w:pPr>
      <w:r>
        <w:rPr/>
        <w:t>(11)</w:t>
      </w:r>
      <w:r>
        <w:rPr>
          <w:sz w:val="20"/>
        </w:rPr>
        <w:t>与托管范围内的路灯设施有关的投诉，经查属于维护作业单位责任的，书面或电话</w:t>
      </w:r>
      <w:r>
        <w:rPr>
          <w:sz w:val="20"/>
        </w:rPr>
        <w:t>1</w:t>
      </w:r>
      <w:r>
        <w:rPr>
          <w:sz w:val="20"/>
        </w:rPr>
        <w:t>次扣减当月托管服务费的</w:t>
      </w:r>
      <w:r>
        <w:rPr>
          <w:sz w:val="20"/>
        </w:rPr>
        <w:t>5%</w:t>
      </w:r>
      <w:r>
        <w:rPr>
          <w:sz w:val="20"/>
        </w:rPr>
        <w:t>；媒体曝光（含书面、电话、网络、电台、电视台、报纸等）</w:t>
      </w:r>
      <w:r>
        <w:rPr>
          <w:sz w:val="20"/>
        </w:rPr>
        <w:t>1</w:t>
      </w:r>
      <w:r>
        <w:rPr>
          <w:sz w:val="20"/>
        </w:rPr>
        <w:t>次扣减当月托管服务费的</w:t>
      </w:r>
      <w:r>
        <w:rPr>
          <w:sz w:val="20"/>
        </w:rPr>
        <w:t>10%</w:t>
      </w:r>
      <w:r>
        <w:rPr>
          <w:sz w:val="20"/>
        </w:rPr>
        <w:t>，造成重大社会影响的视情况而定加重处罚，最高可罚至包干总费用</w:t>
      </w:r>
      <w:r>
        <w:rPr>
          <w:sz w:val="20"/>
        </w:rPr>
        <w:t>10%</w:t>
      </w:r>
      <w:r>
        <w:rPr>
          <w:sz w:val="20"/>
        </w:rPr>
        <w:t>；</w:t>
      </w:r>
    </w:p>
    <w:p>
      <w:pPr>
        <w:pStyle w:val="null3"/>
        <w:jc w:val="both"/>
      </w:pPr>
      <w:r>
        <w:rPr/>
        <w:t>(12)</w:t>
      </w:r>
      <w:r>
        <w:rPr>
          <w:sz w:val="20"/>
        </w:rPr>
        <w:t>不服从采购人的统一调配和安排，</w:t>
      </w:r>
      <w:r>
        <w:rPr>
          <w:sz w:val="20"/>
        </w:rPr>
        <w:t>1</w:t>
      </w:r>
      <w:r>
        <w:rPr>
          <w:sz w:val="20"/>
        </w:rPr>
        <w:t>次扣减当月托管服务费的</w:t>
      </w:r>
      <w:r>
        <w:rPr>
          <w:sz w:val="20"/>
        </w:rPr>
        <w:t>5000</w:t>
      </w:r>
      <w:r>
        <w:rPr>
          <w:sz w:val="20"/>
        </w:rPr>
        <w:t>元；</w:t>
      </w:r>
    </w:p>
    <w:p>
      <w:pPr>
        <w:pStyle w:val="null3"/>
        <w:jc w:val="both"/>
      </w:pPr>
      <w:r>
        <w:rPr/>
        <w:t>(13)</w:t>
      </w:r>
      <w:r>
        <w:rPr>
          <w:sz w:val="20"/>
        </w:rPr>
        <w:t>未能按时上报月度机器设备使用台账记录、月度人员考勤记录、月度小结、下月工作计划、设施存在问题及工作建议、日常巡查记录等，每延迟一天每项扣减当月托管服务费的</w:t>
      </w:r>
      <w:r>
        <w:rPr>
          <w:sz w:val="20"/>
        </w:rPr>
        <w:t>1000</w:t>
      </w:r>
      <w:r>
        <w:rPr>
          <w:sz w:val="20"/>
        </w:rPr>
        <w:t>元，如月度机器设备使用台账记录、月度人员考勤记录、月度小结、下月工作计划、设施存在问题及工作建议、日常巡查记录等存在与事实不符；或不能充分反映实际情况；或应付式上报；或未达到采购人要求的，视为未能按时上报，采购人可要求中标人重新编写。</w:t>
      </w:r>
    </w:p>
    <w:p>
      <w:pPr>
        <w:pStyle w:val="null3"/>
        <w:jc w:val="both"/>
      </w:pPr>
      <w:r>
        <w:rPr/>
        <w:t>(14)</w:t>
      </w:r>
      <w:r>
        <w:rPr>
          <w:sz w:val="20"/>
        </w:rPr>
        <w:t>所从事的养护作业项目受到行政管理部门行文批评：市级扣罚</w:t>
      </w:r>
      <w:r>
        <w:rPr>
          <w:sz w:val="20"/>
        </w:rPr>
        <w:t>1</w:t>
      </w:r>
      <w:r>
        <w:rPr>
          <w:sz w:val="20"/>
        </w:rPr>
        <w:t>万元以上</w:t>
      </w:r>
      <w:r>
        <w:rPr>
          <w:sz w:val="20"/>
        </w:rPr>
        <w:t>5</w:t>
      </w:r>
      <w:r>
        <w:rPr>
          <w:sz w:val="20"/>
        </w:rPr>
        <w:t>万元以下，视情节轻重是否取消从事维护管养作业资格；镇级扣罚</w:t>
      </w:r>
      <w:r>
        <w:rPr>
          <w:sz w:val="20"/>
        </w:rPr>
        <w:t>5000</w:t>
      </w:r>
      <w:r>
        <w:rPr>
          <w:sz w:val="20"/>
        </w:rPr>
        <w:t>元以上</w:t>
      </w:r>
      <w:r>
        <w:rPr>
          <w:sz w:val="20"/>
        </w:rPr>
        <w:t>1</w:t>
      </w:r>
      <w:r>
        <w:rPr>
          <w:sz w:val="20"/>
        </w:rPr>
        <w:t>万元以下，视情节轻重是否取消从事维护管养作业资格。</w:t>
      </w:r>
    </w:p>
    <w:p>
      <w:pPr>
        <w:pStyle w:val="null3"/>
        <w:jc w:val="both"/>
      </w:pPr>
      <w:r>
        <w:rPr/>
        <w:t>(15)</w:t>
      </w:r>
      <w:r>
        <w:rPr>
          <w:sz w:val="20"/>
        </w:rPr>
        <w:t>当设施损坏或采购人下达工作任务时，中标人以没有备用材料、机械、人员或忘记等为由减慢工作进度，每次每处扣减当月托管服务费的</w:t>
      </w:r>
      <w:r>
        <w:rPr>
          <w:sz w:val="20"/>
        </w:rPr>
        <w:t>5000</w:t>
      </w:r>
      <w:r>
        <w:rPr>
          <w:sz w:val="20"/>
        </w:rPr>
        <w:t>元，一切责任由中标人负责。</w:t>
      </w:r>
    </w:p>
    <w:p>
      <w:pPr>
        <w:pStyle w:val="null3"/>
        <w:jc w:val="both"/>
      </w:pPr>
      <w:r>
        <w:rPr/>
        <w:t>(16)</w:t>
      </w:r>
      <w:r>
        <w:rPr>
          <w:sz w:val="20"/>
        </w:rPr>
        <w:t>设施失窃后必须在</w:t>
      </w:r>
      <w:r>
        <w:rPr>
          <w:sz w:val="20"/>
        </w:rPr>
        <w:t>24</w:t>
      </w:r>
      <w:r>
        <w:rPr>
          <w:sz w:val="20"/>
        </w:rPr>
        <w:t>小时内进行修复完成，如因实际情况不能及时修复完成的经采购人批准后可相应延长修复；如未经批准超过</w:t>
      </w:r>
      <w:r>
        <w:rPr>
          <w:sz w:val="20"/>
        </w:rPr>
        <w:t>24</w:t>
      </w:r>
      <w:r>
        <w:rPr>
          <w:sz w:val="20"/>
        </w:rPr>
        <w:t>小时完成的，每延迟一天扣减当月托管服务费的</w:t>
      </w:r>
      <w:r>
        <w:rPr>
          <w:sz w:val="20"/>
        </w:rPr>
        <w:t>1000</w:t>
      </w:r>
      <w:r>
        <w:rPr>
          <w:sz w:val="20"/>
        </w:rPr>
        <w:t>元，并负责由此造成的一切损失和后果。</w:t>
      </w:r>
    </w:p>
    <w:p>
      <w:pPr>
        <w:pStyle w:val="null3"/>
        <w:jc w:val="both"/>
      </w:pPr>
      <w:r>
        <w:rPr/>
        <w:t>(17)</w:t>
      </w:r>
      <w:r>
        <w:rPr>
          <w:sz w:val="20"/>
        </w:rPr>
        <w:t>如采购人遇到特殊任务时需加强维护时，中标人必须无条件按采购人要求提供检查人员、维修人员、机具，每次缺少</w:t>
      </w:r>
      <w:r>
        <w:rPr>
          <w:sz w:val="20"/>
        </w:rPr>
        <w:t>1</w:t>
      </w:r>
      <w:r>
        <w:rPr>
          <w:sz w:val="20"/>
        </w:rPr>
        <w:t>名管理人员扣减当月托管服务费的</w:t>
      </w:r>
      <w:r>
        <w:rPr>
          <w:sz w:val="20"/>
        </w:rPr>
        <w:t>1%</w:t>
      </w:r>
      <w:r>
        <w:rPr>
          <w:sz w:val="20"/>
        </w:rPr>
        <w:t>，每次缺少</w:t>
      </w:r>
      <w:r>
        <w:rPr>
          <w:sz w:val="20"/>
        </w:rPr>
        <w:t>1</w:t>
      </w:r>
      <w:r>
        <w:rPr>
          <w:sz w:val="20"/>
        </w:rPr>
        <w:t>名工人扣减当月托管服务费的</w:t>
      </w:r>
      <w:r>
        <w:rPr>
          <w:sz w:val="20"/>
        </w:rPr>
        <w:t>0.5%</w:t>
      </w:r>
      <w:r>
        <w:rPr>
          <w:sz w:val="20"/>
        </w:rPr>
        <w:t>，每次缺少大型机械（如路灯高空作业车等）</w:t>
      </w:r>
      <w:r>
        <w:rPr>
          <w:sz w:val="20"/>
        </w:rPr>
        <w:t>1</w:t>
      </w:r>
      <w:r>
        <w:rPr>
          <w:sz w:val="20"/>
        </w:rPr>
        <w:t>台扣减当月托管服务费的</w:t>
      </w:r>
      <w:r>
        <w:rPr>
          <w:sz w:val="20"/>
        </w:rPr>
        <w:t>1%</w:t>
      </w:r>
      <w:r>
        <w:rPr>
          <w:sz w:val="20"/>
        </w:rPr>
        <w:t>，小型机械或车辆扣减当月托管服务费的</w:t>
      </w:r>
      <w:r>
        <w:rPr>
          <w:sz w:val="20"/>
        </w:rPr>
        <w:t>1%</w:t>
      </w:r>
      <w:r>
        <w:rPr>
          <w:sz w:val="20"/>
        </w:rPr>
        <w:t>；不能按质按量按时完成突击抢险任务，每处每次扣减当月托管服务费的</w:t>
      </w:r>
      <w:r>
        <w:rPr>
          <w:sz w:val="20"/>
        </w:rPr>
        <w:t>3%</w:t>
      </w:r>
      <w:r>
        <w:rPr>
          <w:sz w:val="20"/>
        </w:rPr>
        <w:t>，每延迟</w:t>
      </w:r>
      <w:r>
        <w:rPr>
          <w:sz w:val="20"/>
        </w:rPr>
        <w:t>1</w:t>
      </w:r>
      <w:r>
        <w:rPr>
          <w:sz w:val="20"/>
        </w:rPr>
        <w:t>天扣减当月托管服务费的</w:t>
      </w:r>
      <w:r>
        <w:rPr>
          <w:sz w:val="20"/>
        </w:rPr>
        <w:t>3%</w:t>
      </w:r>
      <w:r>
        <w:rPr>
          <w:sz w:val="20"/>
        </w:rPr>
        <w:t>。</w:t>
      </w:r>
    </w:p>
    <w:p>
      <w:pPr>
        <w:pStyle w:val="null3"/>
        <w:jc w:val="both"/>
      </w:pPr>
      <w:r>
        <w:rPr/>
        <w:t>(18)</w:t>
      </w:r>
      <w:r>
        <w:rPr>
          <w:sz w:val="20"/>
        </w:rPr>
        <w:t>暴雨黄色预警信号发布后半个小时内抢险人员全部到位，按照《预案》和特殊时段环境要求完成各项任务；不能按以上要求完成的，按以下方法扣减：机械设备延迟半个小时到位的，每处每次每台扣减当月托管服务费的</w:t>
      </w:r>
      <w:r>
        <w:rPr>
          <w:sz w:val="20"/>
        </w:rPr>
        <w:t>3%</w:t>
      </w:r>
      <w:r>
        <w:rPr>
          <w:sz w:val="20"/>
        </w:rPr>
        <w:t>，每延迟半小时（不足半小时按半小时算）累加扣罚；工作人员半个小时不能到达或接到采购人指令后，未能在采购人要求时间内到达目的地，每次每处每人扣减当月托管服务费的</w:t>
      </w:r>
      <w:r>
        <w:rPr>
          <w:sz w:val="20"/>
        </w:rPr>
        <w:t>3%</w:t>
      </w:r>
      <w:r>
        <w:rPr>
          <w:sz w:val="20"/>
        </w:rPr>
        <w:t>，每延迟半小时（不足半小时按半小时算）加倍扣罚；未制定防台风、防汛和路灯应急预案的，缺少</w:t>
      </w:r>
      <w:r>
        <w:rPr>
          <w:sz w:val="20"/>
        </w:rPr>
        <w:t>1</w:t>
      </w:r>
      <w:r>
        <w:rPr>
          <w:sz w:val="20"/>
        </w:rPr>
        <w:t>项扣减当月托管服务费的</w:t>
      </w:r>
      <w:r>
        <w:rPr>
          <w:sz w:val="20"/>
        </w:rPr>
        <w:t>5%</w:t>
      </w:r>
      <w:r>
        <w:rPr>
          <w:sz w:val="20"/>
        </w:rPr>
        <w:t>；未成立抢险应急队伍的扣减当月托管服务费的</w:t>
      </w:r>
      <w:r>
        <w:rPr>
          <w:sz w:val="20"/>
        </w:rPr>
        <w:t>5%</w:t>
      </w:r>
      <w:r>
        <w:rPr>
          <w:sz w:val="20"/>
        </w:rPr>
        <w:t>；防汛期间每月至少检查一次机械、设备、人员，经检查未按预案要求配备的，每缺</w:t>
      </w:r>
      <w:r>
        <w:rPr>
          <w:sz w:val="20"/>
        </w:rPr>
        <w:t>1</w:t>
      </w:r>
      <w:r>
        <w:rPr>
          <w:sz w:val="20"/>
        </w:rPr>
        <w:t>台机械设备扣减当月托管服务费的</w:t>
      </w:r>
      <w:r>
        <w:rPr>
          <w:sz w:val="20"/>
        </w:rPr>
        <w:t>5%</w:t>
      </w:r>
      <w:r>
        <w:rPr>
          <w:sz w:val="20"/>
        </w:rPr>
        <w:t>；缺管理人员</w:t>
      </w:r>
      <w:r>
        <w:rPr>
          <w:sz w:val="20"/>
        </w:rPr>
        <w:t>1</w:t>
      </w:r>
      <w:r>
        <w:rPr>
          <w:sz w:val="20"/>
        </w:rPr>
        <w:t>人扣减当月托管服务费的</w:t>
      </w:r>
      <w:r>
        <w:rPr>
          <w:sz w:val="20"/>
        </w:rPr>
        <w:t>5%</w:t>
      </w:r>
      <w:r>
        <w:rPr>
          <w:sz w:val="20"/>
        </w:rPr>
        <w:t>，工人</w:t>
      </w:r>
      <w:r>
        <w:rPr>
          <w:sz w:val="20"/>
        </w:rPr>
        <w:t>1</w:t>
      </w:r>
      <w:r>
        <w:rPr>
          <w:sz w:val="20"/>
        </w:rPr>
        <w:t>人扣减当月托管服务费的</w:t>
      </w:r>
      <w:r>
        <w:rPr>
          <w:sz w:val="20"/>
        </w:rPr>
        <w:t>3%</w:t>
      </w:r>
      <w:r>
        <w:rPr>
          <w:sz w:val="20"/>
        </w:rPr>
        <w:t>；缺少</w:t>
      </w:r>
      <w:r>
        <w:rPr>
          <w:sz w:val="20"/>
        </w:rPr>
        <w:t>1</w:t>
      </w:r>
      <w:r>
        <w:rPr>
          <w:sz w:val="20"/>
        </w:rPr>
        <w:t>项防汛物资扣减当月托管服务费的</w:t>
      </w:r>
      <w:r>
        <w:rPr>
          <w:sz w:val="20"/>
        </w:rPr>
        <w:t>5%</w:t>
      </w:r>
      <w:r>
        <w:rPr>
          <w:sz w:val="20"/>
        </w:rPr>
        <w:t>，防汛物资不足，酌情扣罚。</w:t>
      </w:r>
    </w:p>
    <w:p>
      <w:pPr>
        <w:pStyle w:val="null3"/>
        <w:jc w:val="both"/>
      </w:pPr>
      <w:r>
        <w:rPr/>
        <w:t>(19)</w:t>
      </w:r>
      <w:r>
        <w:rPr>
          <w:sz w:val="20"/>
        </w:rPr>
        <w:t>负责对路灯杆、控制及配电设备箱等设施进行全面翻新户外油漆（含除锈、打磨、防腐、喷户外漆等工序），每年度路灯杆翻新数量不低于</w:t>
      </w:r>
      <w:r>
        <w:rPr>
          <w:sz w:val="20"/>
        </w:rPr>
        <w:t>600</w:t>
      </w:r>
      <w:r>
        <w:rPr>
          <w:sz w:val="20"/>
        </w:rPr>
        <w:t>支；中标人每季度需上报路灯杆翻新情况，年终考核时未能按以上要求完成的，每少完成（翻新）一支路灯杆扣减</w:t>
      </w:r>
      <w:r>
        <w:rPr>
          <w:sz w:val="20"/>
        </w:rPr>
        <w:t>1000</w:t>
      </w:r>
      <w:r>
        <w:rPr>
          <w:sz w:val="20"/>
        </w:rPr>
        <w:t>元。</w:t>
      </w:r>
    </w:p>
    <w:p>
      <w:pPr>
        <w:pStyle w:val="null3"/>
        <w:jc w:val="both"/>
      </w:pPr>
      <w:r>
        <w:rPr>
          <w:sz w:val="20"/>
          <w:b/>
        </w:rPr>
        <w:t>以上每一条款均联合一并扣罚。</w:t>
      </w:r>
    </w:p>
    <w:p>
      <w:pPr>
        <w:pStyle w:val="null3"/>
        <w:ind w:firstLine="392"/>
        <w:jc w:val="both"/>
      </w:pPr>
      <w:r>
        <w:rPr>
          <w:sz w:val="20"/>
        </w:rPr>
        <w:t xml:space="preserve">2.2 </w:t>
      </w:r>
      <w:r>
        <w:rPr>
          <w:sz w:val="20"/>
        </w:rPr>
        <w:t>路灯维护考核细则</w:t>
      </w:r>
    </w:p>
    <w:p>
      <w:pPr>
        <w:pStyle w:val="null3"/>
        <w:ind w:firstLine="472"/>
        <w:jc w:val="both"/>
      </w:pPr>
      <w:r>
        <w:rPr>
          <w:sz w:val="20"/>
        </w:rPr>
        <w:t>（</w:t>
      </w:r>
      <w:r>
        <w:rPr>
          <w:sz w:val="20"/>
        </w:rPr>
        <w:t>1</w:t>
      </w:r>
      <w:r>
        <w:rPr>
          <w:sz w:val="20"/>
        </w:rPr>
        <w:t>）保证路灯及相关设施的安全，道路路灯亮灯率达到</w:t>
      </w:r>
      <w:r>
        <w:rPr>
          <w:sz w:val="20"/>
        </w:rPr>
        <w:t>97%</w:t>
      </w:r>
      <w:r>
        <w:rPr>
          <w:sz w:val="20"/>
        </w:rPr>
        <w:t>。每低于此标准</w:t>
      </w:r>
      <w:r>
        <w:rPr>
          <w:sz w:val="20"/>
        </w:rPr>
        <w:t>1%</w:t>
      </w:r>
      <w:r>
        <w:rPr>
          <w:sz w:val="20"/>
        </w:rPr>
        <w:t>扣减当月托管服务费的</w:t>
      </w:r>
      <w:r>
        <w:rPr>
          <w:sz w:val="20"/>
        </w:rPr>
        <w:t>4000</w:t>
      </w:r>
      <w:r>
        <w:rPr>
          <w:sz w:val="20"/>
        </w:rPr>
        <w:t>元。</w:t>
      </w:r>
    </w:p>
    <w:p>
      <w:pPr>
        <w:pStyle w:val="null3"/>
        <w:ind w:firstLine="472"/>
        <w:jc w:val="both"/>
      </w:pPr>
      <w:r>
        <w:rPr>
          <w:sz w:val="20"/>
        </w:rPr>
        <w:t>（</w:t>
      </w:r>
      <w:r>
        <w:rPr>
          <w:sz w:val="20"/>
        </w:rPr>
        <w:t>2</w:t>
      </w:r>
      <w:r>
        <w:rPr>
          <w:sz w:val="20"/>
        </w:rPr>
        <w:t>）中标单位制定《路灯维护电工安全制度》并报采购单位审批备案。在路灯维护工作中严格执行，采购单位将不定期对中标单位维护工作中安全操作情况进行检查，如发现中标单位维护人员违章操作将扣减当月托管服务费的</w:t>
      </w:r>
      <w:r>
        <w:rPr>
          <w:sz w:val="20"/>
        </w:rPr>
        <w:t>500</w:t>
      </w:r>
      <w:r>
        <w:rPr>
          <w:sz w:val="20"/>
        </w:rPr>
        <w:t>元。</w:t>
      </w:r>
    </w:p>
    <w:p>
      <w:pPr>
        <w:pStyle w:val="null3"/>
        <w:ind w:firstLine="472"/>
        <w:jc w:val="both"/>
      </w:pPr>
      <w:r>
        <w:rPr>
          <w:sz w:val="20"/>
        </w:rPr>
        <w:t>（</w:t>
      </w:r>
      <w:r>
        <w:rPr>
          <w:sz w:val="20"/>
        </w:rPr>
        <w:t>3</w:t>
      </w:r>
      <w:r>
        <w:rPr>
          <w:sz w:val="20"/>
        </w:rPr>
        <w:t>）中标单位在路灯维护工作中不得出现任何安全事故，如发生造成人员伤亡的安全事故，考核合同总价款的</w:t>
      </w:r>
      <w:r>
        <w:rPr>
          <w:sz w:val="20"/>
        </w:rPr>
        <w:t>10%</w:t>
      </w:r>
      <w:r>
        <w:rPr>
          <w:sz w:val="20"/>
        </w:rPr>
        <w:t>。如发现中标单位在路灯维护工作中安全管理不严，存在重大安全隐患的，每发现一处扣减当月托管服务费的</w:t>
      </w:r>
      <w:r>
        <w:rPr>
          <w:sz w:val="20"/>
        </w:rPr>
        <w:t>5000</w:t>
      </w:r>
      <w:r>
        <w:rPr>
          <w:sz w:val="20"/>
        </w:rPr>
        <w:t>元。</w:t>
      </w:r>
    </w:p>
    <w:p>
      <w:pPr>
        <w:pStyle w:val="null3"/>
        <w:ind w:firstLine="472"/>
        <w:jc w:val="both"/>
      </w:pPr>
      <w:r>
        <w:rPr>
          <w:sz w:val="20"/>
        </w:rPr>
        <w:t>（</w:t>
      </w:r>
      <w:r>
        <w:rPr>
          <w:sz w:val="20"/>
        </w:rPr>
        <w:t>4</w:t>
      </w:r>
      <w:r>
        <w:rPr>
          <w:sz w:val="20"/>
        </w:rPr>
        <w:t>）中标单位因缺少车辆或人员不齐而延误检维修工作的，一次扣减当月托管服务费的</w:t>
      </w:r>
      <w:r>
        <w:rPr>
          <w:sz w:val="20"/>
        </w:rPr>
        <w:t>1000</w:t>
      </w:r>
      <w:r>
        <w:rPr>
          <w:sz w:val="20"/>
        </w:rPr>
        <w:t>元。</w:t>
      </w:r>
    </w:p>
    <w:p>
      <w:pPr>
        <w:pStyle w:val="null3"/>
        <w:ind w:firstLine="472"/>
        <w:jc w:val="both"/>
      </w:pPr>
      <w:r>
        <w:rPr>
          <w:sz w:val="20"/>
        </w:rPr>
        <w:t>（</w:t>
      </w:r>
      <w:r>
        <w:rPr>
          <w:sz w:val="20"/>
        </w:rPr>
        <w:t>5</w:t>
      </w:r>
      <w:r>
        <w:rPr>
          <w:sz w:val="20"/>
        </w:rPr>
        <w:t>）经巡检发现的光源损坏等情况，中标单位应在</w:t>
      </w:r>
      <w:r>
        <w:rPr>
          <w:sz w:val="20"/>
        </w:rPr>
        <w:t>24</w:t>
      </w:r>
      <w:r>
        <w:rPr>
          <w:sz w:val="20"/>
        </w:rPr>
        <w:t>小时内完成修复。如项目实施单位在</w:t>
      </w:r>
      <w:r>
        <w:rPr>
          <w:sz w:val="20"/>
        </w:rPr>
        <w:t>24</w:t>
      </w:r>
      <w:r>
        <w:rPr>
          <w:sz w:val="20"/>
        </w:rPr>
        <w:t>小时后按照巡检情况复查发现仍未修复，每盏扣减当月托管服务费的</w:t>
      </w:r>
      <w:r>
        <w:rPr>
          <w:sz w:val="20"/>
        </w:rPr>
        <w:t>1000</w:t>
      </w:r>
      <w:r>
        <w:rPr>
          <w:sz w:val="20"/>
        </w:rPr>
        <w:t>元。</w:t>
      </w:r>
    </w:p>
    <w:p>
      <w:pPr>
        <w:pStyle w:val="null3"/>
        <w:ind w:firstLine="472"/>
        <w:jc w:val="both"/>
      </w:pPr>
      <w:r>
        <w:rPr>
          <w:sz w:val="20"/>
        </w:rPr>
        <w:t>（</w:t>
      </w:r>
      <w:r>
        <w:rPr>
          <w:sz w:val="20"/>
        </w:rPr>
        <w:t>6</w:t>
      </w:r>
      <w:r>
        <w:rPr>
          <w:sz w:val="20"/>
        </w:rPr>
        <w:t>）对道路路灯大面积不亮的情况，中标单位应第一时间发现并处理，确保应急抢修不过夜。如当夜无法完成抢修的，经采购单位同意后可在</w:t>
      </w:r>
      <w:r>
        <w:rPr>
          <w:sz w:val="20"/>
        </w:rPr>
        <w:t>72</w:t>
      </w:r>
      <w:r>
        <w:rPr>
          <w:sz w:val="20"/>
        </w:rPr>
        <w:t>小时内修复。中标单位晚于采购单位发现路灯大面积不亮的扣减当月托管服务费的</w:t>
      </w:r>
      <w:r>
        <w:rPr>
          <w:sz w:val="20"/>
        </w:rPr>
        <w:t>500</w:t>
      </w:r>
      <w:r>
        <w:rPr>
          <w:sz w:val="20"/>
        </w:rPr>
        <w:t>元，未及时完成抢修工作的，每天扣减当月托管服务费的</w:t>
      </w:r>
      <w:r>
        <w:rPr>
          <w:sz w:val="20"/>
        </w:rPr>
        <w:t>1000</w:t>
      </w:r>
      <w:r>
        <w:rPr>
          <w:sz w:val="20"/>
        </w:rPr>
        <w:t>元。</w:t>
      </w:r>
    </w:p>
    <w:p>
      <w:pPr>
        <w:pStyle w:val="null3"/>
        <w:ind w:firstLine="472"/>
        <w:jc w:val="both"/>
      </w:pPr>
      <w:r>
        <w:rPr>
          <w:sz w:val="20"/>
        </w:rPr>
        <w:t>（</w:t>
      </w:r>
      <w:r>
        <w:rPr>
          <w:sz w:val="20"/>
        </w:rPr>
        <w:t>6</w:t>
      </w:r>
      <w:r>
        <w:rPr>
          <w:sz w:val="20"/>
        </w:rPr>
        <w:t>）中标单位设立</w:t>
      </w:r>
      <w:r>
        <w:rPr>
          <w:sz w:val="20"/>
        </w:rPr>
        <w:t>2</w:t>
      </w:r>
      <w:r>
        <w:rPr>
          <w:sz w:val="20"/>
        </w:rPr>
        <w:t>部应急投诉电话，确保随时有人接听。否则每次扣减当月托管服务费的</w:t>
      </w:r>
      <w:r>
        <w:rPr>
          <w:sz w:val="20"/>
        </w:rPr>
        <w:t>1000</w:t>
      </w:r>
      <w:r>
        <w:rPr>
          <w:sz w:val="20"/>
        </w:rPr>
        <w:t>元。</w:t>
      </w:r>
    </w:p>
    <w:p>
      <w:pPr>
        <w:pStyle w:val="null3"/>
        <w:ind w:firstLine="472"/>
        <w:jc w:val="both"/>
      </w:pPr>
      <w:r>
        <w:rPr>
          <w:sz w:val="20"/>
        </w:rPr>
        <w:t>（</w:t>
      </w:r>
      <w:r>
        <w:rPr>
          <w:sz w:val="20"/>
        </w:rPr>
        <w:t>7</w:t>
      </w:r>
      <w:r>
        <w:rPr>
          <w:sz w:val="20"/>
        </w:rPr>
        <w:t>）因各种原因被人为损坏的路灯设施，中标单位应在接到通知后</w:t>
      </w:r>
      <w:r>
        <w:rPr>
          <w:sz w:val="20"/>
        </w:rPr>
        <w:t>6</w:t>
      </w:r>
      <w:r>
        <w:rPr>
          <w:sz w:val="20"/>
        </w:rPr>
        <w:t>小时内完成临时处置消除现场安全隐患，在</w:t>
      </w:r>
      <w:r>
        <w:rPr>
          <w:sz w:val="20"/>
        </w:rPr>
        <w:t>48</w:t>
      </w:r>
      <w:r>
        <w:rPr>
          <w:sz w:val="20"/>
        </w:rPr>
        <w:t>小时内修复损坏设备，否则每超过</w:t>
      </w:r>
      <w:r>
        <w:rPr>
          <w:sz w:val="20"/>
        </w:rPr>
        <w:t>1</w:t>
      </w:r>
      <w:r>
        <w:rPr>
          <w:sz w:val="20"/>
        </w:rPr>
        <w:t>小时扣减当月托管服务费的</w:t>
      </w:r>
      <w:r>
        <w:rPr>
          <w:sz w:val="20"/>
        </w:rPr>
        <w:t>1%</w:t>
      </w:r>
      <w:r>
        <w:rPr>
          <w:sz w:val="20"/>
        </w:rPr>
        <w:t>。如损坏的设施因缺少主材（如：灯杆、灯具、电力电缆、开关等）无法修复，在通知项目实施单位后，中标单位应在四天内完成主材采购，并在主材到位两天内完成修复。否则每延误一天扣减当月托管服务费的</w:t>
      </w:r>
      <w:r>
        <w:rPr>
          <w:sz w:val="20"/>
        </w:rPr>
        <w:t>1000</w:t>
      </w:r>
      <w:r>
        <w:rPr>
          <w:sz w:val="20"/>
        </w:rPr>
        <w:t>元。</w:t>
      </w:r>
    </w:p>
    <w:p>
      <w:pPr>
        <w:pStyle w:val="null3"/>
        <w:ind w:firstLine="472"/>
        <w:jc w:val="both"/>
      </w:pPr>
      <w:r>
        <w:rPr>
          <w:sz w:val="20"/>
          <w:b/>
        </w:rPr>
        <w:t>（三）绩效考核结果管理</w:t>
      </w:r>
    </w:p>
    <w:p>
      <w:pPr>
        <w:pStyle w:val="null3"/>
        <w:ind w:firstLine="472"/>
        <w:jc w:val="both"/>
      </w:pPr>
      <w:r>
        <w:rPr>
          <w:sz w:val="20"/>
        </w:rPr>
        <w:t>1</w:t>
      </w:r>
      <w:r>
        <w:rPr>
          <w:sz w:val="20"/>
        </w:rPr>
        <w:t>、定期考核结果管理</w:t>
      </w:r>
    </w:p>
    <w:p>
      <w:pPr>
        <w:pStyle w:val="null3"/>
        <w:ind w:firstLine="472"/>
        <w:jc w:val="both"/>
      </w:pPr>
      <w:r>
        <w:rPr>
          <w:sz w:val="20"/>
        </w:rPr>
        <w:t>项目绩效考核总分为</w:t>
      </w:r>
      <w:r>
        <w:rPr>
          <w:sz w:val="20"/>
        </w:rPr>
        <w:t>100</w:t>
      </w:r>
      <w:r>
        <w:rPr>
          <w:sz w:val="20"/>
        </w:rPr>
        <w:t>分，采取倒扣计分法。</w:t>
      </w:r>
    </w:p>
    <w:p>
      <w:pPr>
        <w:pStyle w:val="null3"/>
        <w:ind w:firstLine="472"/>
        <w:jc w:val="both"/>
      </w:pPr>
      <w:r>
        <w:rPr>
          <w:sz w:val="20"/>
        </w:rPr>
        <w:t>年度绩效考核综合得分等于当年各月度绩效考核得分的平均值。</w:t>
      </w:r>
    </w:p>
    <w:p>
      <w:pPr>
        <w:pStyle w:val="null3"/>
        <w:ind w:firstLine="472"/>
        <w:jc w:val="both"/>
      </w:pPr>
      <w:r>
        <w:rPr>
          <w:sz w:val="20"/>
        </w:rPr>
        <w:t>结果应用方法如下：</w:t>
      </w:r>
    </w:p>
    <w:p>
      <w:pPr>
        <w:pStyle w:val="null3"/>
        <w:ind w:firstLine="472"/>
        <w:jc w:val="both"/>
      </w:pPr>
      <w:r>
        <w:rPr>
          <w:sz w:val="20"/>
        </w:rPr>
        <w:t>85</w:t>
      </w:r>
      <w:r>
        <w:rPr>
          <w:sz w:val="20"/>
        </w:rPr>
        <w:t>分（含</w:t>
      </w:r>
      <w:r>
        <w:rPr>
          <w:sz w:val="20"/>
        </w:rPr>
        <w:t>85</w:t>
      </w:r>
      <w:r>
        <w:rPr>
          <w:sz w:val="20"/>
        </w:rPr>
        <w:t>分）以上，全额拨付当月费用，低于</w:t>
      </w:r>
      <w:r>
        <w:rPr>
          <w:sz w:val="20"/>
        </w:rPr>
        <w:t>85</w:t>
      </w:r>
      <w:r>
        <w:rPr>
          <w:sz w:val="20"/>
        </w:rPr>
        <w:t>分的，每低一分，扣减当月承包费用的</w:t>
      </w:r>
      <w:r>
        <w:rPr>
          <w:sz w:val="20"/>
        </w:rPr>
        <w:t>1%</w:t>
      </w:r>
      <w:r>
        <w:rPr>
          <w:sz w:val="20"/>
        </w:rPr>
        <w:t>，扣减限额最高不得超过当月承包费的</w:t>
      </w:r>
      <w:r>
        <w:rPr>
          <w:sz w:val="20"/>
        </w:rPr>
        <w:t>20%</w:t>
      </w:r>
      <w:r>
        <w:rPr>
          <w:sz w:val="20"/>
        </w:rPr>
        <w:t>。月度考核得分低于</w:t>
      </w:r>
      <w:r>
        <w:rPr>
          <w:sz w:val="20"/>
        </w:rPr>
        <w:t>65</w:t>
      </w:r>
      <w:r>
        <w:rPr>
          <w:sz w:val="20"/>
        </w:rPr>
        <w:t>分时，扣减当月采购单位支付托管服务费的</w:t>
      </w:r>
      <w:r>
        <w:rPr>
          <w:sz w:val="20"/>
        </w:rPr>
        <w:t>20%</w:t>
      </w:r>
      <w:r>
        <w:rPr>
          <w:sz w:val="20"/>
        </w:rPr>
        <w:t>，且中标单位应按照采购单位发出的书面整改意见对其项目运行管理过程中出现的问题在规定的期限内进行整改。若中标单位整改不到位或者不积极整改的，采购单位将介入项目运营，政府方介入期间产生的各项费用由中标单位承担。</w:t>
      </w:r>
    </w:p>
    <w:p>
      <w:pPr>
        <w:pStyle w:val="null3"/>
        <w:ind w:firstLine="472"/>
        <w:jc w:val="both"/>
      </w:pPr>
      <w:r>
        <w:rPr>
          <w:sz w:val="20"/>
        </w:rPr>
        <w:t>若同一年度内，三次及以上月度考核得分低于</w:t>
      </w:r>
      <w:r>
        <w:rPr>
          <w:sz w:val="20"/>
        </w:rPr>
        <w:t>65</w:t>
      </w:r>
      <w:r>
        <w:rPr>
          <w:sz w:val="20"/>
        </w:rPr>
        <w:t>分，且被要求整改的或政府方二次及以上介入项目运营的，除扣减当月采购单位支付托管服务费外，采购单位有权解除托管协议。</w:t>
      </w:r>
      <w:r>
        <w:rPr/>
        <w:t>（若为联合体中标，能源托管服务费用</w:t>
      </w:r>
      <w:r>
        <w:rPr/>
        <w:t>由釆购人支付给联合体牵头单位</w:t>
      </w:r>
      <w:r>
        <w:rPr/>
        <w:t>）</w:t>
      </w:r>
    </w:p>
    <w:p>
      <w:pPr>
        <w:pStyle w:val="null3"/>
        <w:ind w:firstLine="472"/>
        <w:jc w:val="both"/>
      </w:pPr>
      <w:r>
        <w:rPr>
          <w:sz w:val="20"/>
        </w:rPr>
        <w:t>2</w:t>
      </w:r>
      <w:r>
        <w:rPr>
          <w:sz w:val="20"/>
        </w:rPr>
        <w:t>、临时考核结果管理</w:t>
      </w:r>
    </w:p>
    <w:p>
      <w:pPr>
        <w:pStyle w:val="null3"/>
        <w:ind w:firstLine="472"/>
        <w:jc w:val="both"/>
      </w:pPr>
      <w:r>
        <w:rPr>
          <w:sz w:val="20"/>
        </w:rPr>
        <w:t>月度考核得分低于</w:t>
      </w:r>
      <w:r>
        <w:rPr>
          <w:sz w:val="20"/>
        </w:rPr>
        <w:t>65</w:t>
      </w:r>
      <w:r>
        <w:rPr>
          <w:sz w:val="20"/>
        </w:rPr>
        <w:t>分时或出现违章违法行为、重大事故被通报或群众举报情况（举报情况属实）后，采购单位可以随时自行考察中标单位的整改及服务情况，如发现较大缺陷，则需在</w:t>
      </w:r>
      <w:r>
        <w:rPr>
          <w:sz w:val="20"/>
        </w:rPr>
        <w:t>24</w:t>
      </w:r>
      <w:r>
        <w:rPr>
          <w:sz w:val="20"/>
        </w:rPr>
        <w:t>小时内以书面形式通知中标单位。中标单位在接到项目实施单位的书面通知后，应在要求的时间内整改到位。临时考核结果一般不作为中标单位违约情形处理，除非临时考核发现的缺陷会导致项目整体运营状况、安全、环境等受到严重影响，或存在重大安全、环境隐患。定期考核和临时考核过程中，采购单位提出的整改意见，中标单位皆应及时进行整改。</w:t>
      </w:r>
    </w:p>
    <w:p>
      <w:pPr>
        <w:pStyle w:val="null3"/>
        <w:jc w:val="left"/>
      </w:pPr>
      <w:r>
        <w:rPr>
          <w:sz w:val="20"/>
          <w:b/>
        </w:rPr>
        <w:t>附表</w:t>
      </w:r>
      <w:r>
        <w:rPr>
          <w:sz w:val="20"/>
          <w:b/>
        </w:rPr>
        <w:t>1</w:t>
      </w:r>
      <w:r>
        <w:rPr>
          <w:sz w:val="20"/>
          <w:b/>
        </w:rPr>
        <w:t>：古镇节能改造产品技术参数</w:t>
      </w:r>
    </w:p>
    <w:tbl>
      <w:tblPr>
        <w:tblW w:w="0" w:type="auto"/>
        <w:tblBorders>
          <w:top w:val="none" w:color="000000" w:sz="4"/>
          <w:left w:val="none" w:color="000000" w:sz="4"/>
          <w:bottom w:val="none" w:color="000000" w:sz="4"/>
          <w:right w:val="none" w:color="000000" w:sz="4"/>
          <w:insideH w:val="none"/>
          <w:insideV w:val="none"/>
        </w:tblBorders>
      </w:tblPr>
      <w:tblGrid>
        <w:gridCol w:w="391"/>
        <w:gridCol w:w="813"/>
        <w:gridCol w:w="752"/>
        <w:gridCol w:w="4198"/>
        <w:gridCol w:w="542"/>
        <w:gridCol w:w="617"/>
        <w:gridCol w:w="993"/>
      </w:tblGrid>
      <w:tr>
        <w:tc>
          <w:tcPr>
            <w:tcW w:type="dxa" w:w="830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40"/>
                <w:b/>
              </w:rPr>
              <w:t>古镇节能改造产品技术参数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灯具名称</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分项名称</w:t>
            </w:r>
          </w:p>
        </w:tc>
        <w:tc>
          <w:tcPr>
            <w:tcW w:type="dxa" w:w="4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技术参数</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对应原有路灯功率</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8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光通量</w:t>
            </w:r>
            <w:r>
              <w:rPr>
                <w:sz w:val="20"/>
              </w:rPr>
              <w:t>10000lmLED</w:t>
            </w:r>
            <w:r>
              <w:rPr>
                <w:sz w:val="20"/>
              </w:rPr>
              <w:t>路灯</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r>
              <w:rPr>
                <w:sz w:val="20"/>
              </w:rPr>
              <w:t>瓦高光效</w:t>
            </w:r>
            <w:r>
              <w:rPr>
                <w:sz w:val="20"/>
              </w:rPr>
              <w:t>LED</w:t>
            </w:r>
            <w:r>
              <w:rPr>
                <w:sz w:val="20"/>
              </w:rPr>
              <w:t>灯具</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w:t>
            </w:r>
            <w:r>
              <w:rPr>
                <w:sz w:val="20"/>
              </w:rPr>
              <w:t>50</w:t>
            </w:r>
            <w:r>
              <w:rPr>
                <w:sz w:val="20"/>
              </w:rPr>
              <w:t>瓦高光效</w:t>
            </w:r>
            <w:r>
              <w:rPr>
                <w:sz w:val="20"/>
              </w:rPr>
              <w:t>4G</w:t>
            </w:r>
            <w:r>
              <w:rPr>
                <w:sz w:val="20"/>
              </w:rPr>
              <w:t>物联智慧路灯；</w:t>
            </w:r>
            <w:r>
              <w:br/>
            </w:r>
            <w:r>
              <w:rPr>
                <w:sz w:val="20"/>
              </w:rPr>
              <w:t>2</w:t>
            </w:r>
            <w:r>
              <w:rPr>
                <w:sz w:val="20"/>
              </w:rPr>
              <w:t>、功率因数：</w:t>
            </w:r>
            <w:r>
              <w:rPr>
                <w:sz w:val="20"/>
              </w:rPr>
              <w:t>0.95</w:t>
            </w:r>
            <w:r>
              <w:rPr>
                <w:sz w:val="20"/>
              </w:rPr>
              <w:t>；</w:t>
            </w:r>
            <w:r>
              <w:br/>
            </w:r>
            <w:r>
              <w:rPr>
                <w:sz w:val="20"/>
              </w:rPr>
              <w:t>3</w:t>
            </w:r>
            <w:r>
              <w:rPr>
                <w:sz w:val="20"/>
              </w:rPr>
              <w:t>、整灯光效：</w:t>
            </w:r>
            <w:r>
              <w:rPr>
                <w:sz w:val="20"/>
              </w:rPr>
              <w:t>200lm/w</w:t>
            </w:r>
            <w:r>
              <w:rPr>
                <w:sz w:val="20"/>
              </w:rPr>
              <w:t>，整灯总光通量：</w:t>
            </w:r>
            <w:r>
              <w:rPr>
                <w:sz w:val="20"/>
              </w:rPr>
              <w:t>10000lm</w:t>
            </w:r>
            <w:r>
              <w:rPr>
                <w:sz w:val="20"/>
              </w:rPr>
              <w:t>；</w:t>
            </w:r>
            <w:r>
              <w:br/>
            </w:r>
            <w:r>
              <w:rPr>
                <w:sz w:val="20"/>
              </w:rPr>
              <w:t>4</w:t>
            </w:r>
            <w:r>
              <w:rPr>
                <w:sz w:val="20"/>
              </w:rPr>
              <w:t>、色温：</w:t>
            </w:r>
            <w:r>
              <w:rPr>
                <w:sz w:val="20"/>
              </w:rPr>
              <w:t>4000K</w:t>
            </w:r>
            <w:r>
              <w:rPr>
                <w:sz w:val="20"/>
              </w:rPr>
              <w:t>；</w:t>
            </w:r>
            <w:r>
              <w:br/>
            </w:r>
            <w:r>
              <w:rPr>
                <w:sz w:val="20"/>
              </w:rPr>
              <w:t>5</w:t>
            </w:r>
            <w:r>
              <w:rPr>
                <w:sz w:val="20"/>
              </w:rPr>
              <w:t>、显色指数：</w:t>
            </w:r>
            <w:r>
              <w:rPr>
                <w:sz w:val="20"/>
              </w:rPr>
              <w:t>Ra70</w:t>
            </w:r>
            <w:r>
              <w:rPr>
                <w:sz w:val="20"/>
              </w:rPr>
              <w:t>；</w:t>
            </w:r>
            <w:r>
              <w:br/>
            </w:r>
            <w:r>
              <w:rPr>
                <w:sz w:val="20"/>
              </w:rPr>
              <w:t>6</w:t>
            </w:r>
            <w:r>
              <w:rPr>
                <w:sz w:val="20"/>
              </w:rPr>
              <w:t>、防护等级：≥</w:t>
            </w:r>
            <w:r>
              <w:rPr>
                <w:sz w:val="20"/>
              </w:rPr>
              <w:t>IP66</w:t>
            </w:r>
            <w:r>
              <w:rPr>
                <w:sz w:val="20"/>
              </w:rPr>
              <w:t>；</w:t>
            </w:r>
            <w:r>
              <w:br/>
            </w:r>
            <w:r>
              <w:rPr>
                <w:sz w:val="20"/>
              </w:rPr>
              <w:t>7</w:t>
            </w:r>
            <w:r>
              <w:rPr>
                <w:sz w:val="20"/>
              </w:rPr>
              <w:t>、防触电等级：</w:t>
            </w:r>
            <w:r>
              <w:rPr>
                <w:sz w:val="20"/>
              </w:rPr>
              <w:t>CLASS</w:t>
            </w:r>
            <w:r>
              <w:rPr>
                <w:sz w:val="20"/>
              </w:rPr>
              <w:t>Ⅰ；</w:t>
            </w:r>
            <w:r>
              <w:br/>
            </w:r>
            <w:r>
              <w:rPr>
                <w:sz w:val="20"/>
              </w:rPr>
              <w:t>8</w:t>
            </w:r>
            <w:r>
              <w:rPr>
                <w:sz w:val="20"/>
              </w:rPr>
              <w:t>、灯具电气参数：</w:t>
            </w:r>
            <w:r>
              <w:rPr>
                <w:sz w:val="20"/>
              </w:rPr>
              <w:t>AC176-264V</w:t>
            </w:r>
            <w:r>
              <w:rPr>
                <w:sz w:val="20"/>
              </w:rPr>
              <w:t>，</w:t>
            </w:r>
            <w:r>
              <w:rPr>
                <w:sz w:val="20"/>
              </w:rPr>
              <w:t>50Hz</w:t>
            </w:r>
            <w:r>
              <w:rPr>
                <w:sz w:val="20"/>
              </w:rPr>
              <w:t>；</w:t>
            </w:r>
            <w:r>
              <w:br/>
            </w:r>
            <w:r>
              <w:rPr>
                <w:sz w:val="20"/>
              </w:rPr>
              <w:t>9</w:t>
            </w:r>
            <w:r>
              <w:rPr>
                <w:sz w:val="20"/>
              </w:rPr>
              <w:t>、光源模组采用模块化设计，适配灯臂φ</w:t>
            </w:r>
            <w:r>
              <w:rPr>
                <w:sz w:val="20"/>
              </w:rPr>
              <w:t>60</w:t>
            </w:r>
            <w:r>
              <w:rPr>
                <w:sz w:val="20"/>
              </w:rPr>
              <w:t>管。带防坠链，电气腔内可放单灯控制器。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90W-100W</w:t>
            </w:r>
          </w:p>
        </w:tc>
      </w:tr>
      <w:tr>
        <w:tc>
          <w:tcPr>
            <w:tcW w:type="dxa" w:w="391"/>
            <w:vMerge/>
            <w:tcBorders>
              <w:top w:val="none" w:color="000000" w:sz="4"/>
              <w:left w:val="single" w:color="000000" w:sz="4"/>
              <w:bottom w:val="single" w:color="000000" w:sz="4"/>
              <w:right w:val="single" w:color="000000" w:sz="4"/>
            </w:tcBorders>
          </w:tcPr>
          <w:p/>
        </w:tc>
        <w:tc>
          <w:tcPr>
            <w:tcW w:type="dxa" w:w="813"/>
            <w:vMerge/>
            <w:tcBorders>
              <w:top w:val="none" w:color="000000" w:sz="4"/>
              <w:left w:val="non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单灯控制器</w:t>
            </w:r>
            <w:r>
              <w:rPr>
                <w:sz w:val="20"/>
              </w:rPr>
              <w:t>+60W</w:t>
            </w:r>
            <w:r>
              <w:rPr>
                <w:sz w:val="20"/>
              </w:rPr>
              <w:t>防水电源</w:t>
            </w:r>
            <w:r>
              <w:rPr>
                <w:sz w:val="20"/>
              </w:rPr>
              <w:t>+SPD</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）防护等级：≥</w:t>
            </w:r>
            <w:r>
              <w:rPr>
                <w:sz w:val="20"/>
              </w:rPr>
              <w:t>IP66</w:t>
            </w:r>
            <w:r>
              <w:br/>
            </w:r>
            <w:r>
              <w:rPr>
                <w:sz w:val="20"/>
              </w:rPr>
              <w:t>(2</w:t>
            </w:r>
            <w:r>
              <w:rPr>
                <w:sz w:val="20"/>
              </w:rPr>
              <w:t>）防浪涌等级：≥</w:t>
            </w:r>
            <w:r>
              <w:rPr>
                <w:sz w:val="20"/>
              </w:rPr>
              <w:t>6KV</w:t>
            </w:r>
            <w:r>
              <w:br/>
            </w:r>
            <w:r>
              <w:rPr>
                <w:sz w:val="20"/>
              </w:rPr>
              <w:t>(3</w:t>
            </w:r>
            <w:r>
              <w:rPr>
                <w:sz w:val="20"/>
              </w:rPr>
              <w:t>）工作温度：</w:t>
            </w:r>
            <w:r>
              <w:rPr>
                <w:sz w:val="20"/>
              </w:rPr>
              <w:t>-35</w:t>
            </w:r>
            <w:r>
              <w:rPr>
                <w:sz w:val="20"/>
              </w:rPr>
              <w:t>℃～</w:t>
            </w:r>
            <w:r>
              <w:rPr>
                <w:sz w:val="20"/>
              </w:rPr>
              <w:t>+75</w:t>
            </w:r>
            <w:r>
              <w:rPr>
                <w:sz w:val="20"/>
              </w:rPr>
              <w:t>℃</w:t>
            </w:r>
            <w:r>
              <w:br/>
            </w:r>
            <w:r>
              <w:rPr>
                <w:sz w:val="20"/>
              </w:rPr>
              <w:t>(4</w:t>
            </w:r>
            <w:r>
              <w:rPr>
                <w:sz w:val="20"/>
              </w:rPr>
              <w:t>）工作电压：</w:t>
            </w:r>
            <w:r>
              <w:rPr>
                <w:sz w:val="20"/>
              </w:rPr>
              <w:t>110~265VAC</w:t>
            </w:r>
            <w:r>
              <w:rPr>
                <w:sz w:val="20"/>
              </w:rPr>
              <w:t>，</w:t>
            </w:r>
            <w:r>
              <w:rPr>
                <w:sz w:val="20"/>
              </w:rPr>
              <w:t>50</w:t>
            </w:r>
            <w:r>
              <w:rPr>
                <w:sz w:val="20"/>
              </w:rPr>
              <w:t>～</w:t>
            </w:r>
            <w:r>
              <w:rPr>
                <w:sz w:val="20"/>
              </w:rPr>
              <w:t>60Hz</w:t>
            </w:r>
            <w:r>
              <w:rPr>
                <w:sz w:val="20"/>
              </w:rPr>
              <w:t>。</w:t>
            </w:r>
            <w:r>
              <w:br/>
            </w:r>
            <w:r>
              <w:rPr>
                <w:sz w:val="20"/>
              </w:rPr>
              <w:t>(5</w:t>
            </w:r>
            <w:r>
              <w:rPr>
                <w:sz w:val="20"/>
              </w:rPr>
              <w:t>）输出功率：≤</w:t>
            </w:r>
            <w:r>
              <w:rPr>
                <w:sz w:val="20"/>
              </w:rPr>
              <w:t>1200W</w:t>
            </w:r>
            <w:r>
              <w:br/>
            </w:r>
            <w:r>
              <w:rPr>
                <w:sz w:val="20"/>
              </w:rPr>
              <w:t>(6</w:t>
            </w:r>
            <w:r>
              <w:rPr>
                <w:sz w:val="20"/>
              </w:rPr>
              <w:t>）额定功耗：有功功耗</w:t>
            </w:r>
            <w:r>
              <w:rPr>
                <w:sz w:val="20"/>
              </w:rPr>
              <w:t>&lt;1W</w:t>
            </w:r>
            <w:r>
              <w:rPr>
                <w:sz w:val="20"/>
              </w:rPr>
              <w:t>，视在功耗</w:t>
            </w:r>
            <w:r>
              <w:rPr>
                <w:sz w:val="20"/>
              </w:rPr>
              <w:t>&lt;3W</w:t>
            </w:r>
            <w:r>
              <w:br/>
            </w:r>
            <w:r>
              <w:rPr>
                <w:sz w:val="20"/>
              </w:rPr>
              <w:t>(7</w:t>
            </w:r>
            <w:r>
              <w:rPr>
                <w:sz w:val="20"/>
              </w:rPr>
              <w:t>）独立工业级</w:t>
            </w:r>
            <w:r>
              <w:rPr>
                <w:sz w:val="20"/>
              </w:rPr>
              <w:t>MCU</w:t>
            </w:r>
            <w:r>
              <w:rPr>
                <w:sz w:val="20"/>
              </w:rPr>
              <w:t>设计，实现与通信模块解耦，可独立运行系统功能，当模块异常时，仍可独立执行本地策略，保证设备稳定运行。同时</w:t>
            </w:r>
            <w:r>
              <w:rPr>
                <w:sz w:val="20"/>
              </w:rPr>
              <w:t>MCU</w:t>
            </w:r>
            <w:r>
              <w:rPr>
                <w:sz w:val="20"/>
              </w:rPr>
              <w:t>集成经过深度优化的</w:t>
            </w:r>
            <w:r>
              <w:rPr>
                <w:sz w:val="20"/>
              </w:rPr>
              <w:t>LWIP</w:t>
            </w:r>
            <w:r>
              <w:rPr>
                <w:sz w:val="20"/>
              </w:rPr>
              <w:t>协议栈，可有效避免假在线等问题，并快速定位网络故障，确保设备实时稳定在线。</w:t>
            </w:r>
            <w:r>
              <w:br/>
            </w:r>
            <w:r>
              <w:rPr>
                <w:sz w:val="20"/>
              </w:rPr>
              <w:t>(8</w:t>
            </w:r>
            <w:r>
              <w:rPr>
                <w:sz w:val="20"/>
              </w:rPr>
              <w:t>）设备状态和数据检测功能：支持自动巡测灯具，包括开关状态、调光状态、亮灯时长、电压、电流、功率、能耗等。</w:t>
            </w:r>
            <w:r>
              <w:br/>
            </w:r>
            <w:r>
              <w:rPr>
                <w:sz w:val="20"/>
              </w:rPr>
              <w:t>(9</w:t>
            </w:r>
            <w:r>
              <w:rPr>
                <w:sz w:val="20"/>
              </w:rPr>
              <w:t>）远程控制功能：支持远程开关、调光、策略控制；支持</w:t>
            </w:r>
            <w:r>
              <w:rPr>
                <w:sz w:val="20"/>
              </w:rPr>
              <w:t>0</w:t>
            </w:r>
            <w:r>
              <w:rPr>
                <w:sz w:val="20"/>
              </w:rPr>
              <w:t>～</w:t>
            </w:r>
            <w:r>
              <w:rPr>
                <w:sz w:val="20"/>
              </w:rPr>
              <w:t>10V</w:t>
            </w:r>
            <w:r>
              <w:rPr>
                <w:sz w:val="20"/>
              </w:rPr>
              <w:t>和</w:t>
            </w:r>
            <w:r>
              <w:rPr>
                <w:sz w:val="20"/>
              </w:rPr>
              <w:t>PWM</w:t>
            </w:r>
            <w:r>
              <w:rPr>
                <w:sz w:val="20"/>
              </w:rPr>
              <w:t>无级调光。</w:t>
            </w:r>
            <w:r>
              <w:br/>
            </w:r>
            <w:r>
              <w:rPr>
                <w:sz w:val="20"/>
              </w:rPr>
              <w:t>(10</w:t>
            </w:r>
            <w:r>
              <w:rPr>
                <w:sz w:val="20"/>
              </w:rPr>
              <w:t>）端策略功能：支持设备本地定时策略、节假日策略、经纬度策略，确保通讯异常或平台故障时前端系统能正常运行。（</w:t>
            </w:r>
            <w:r>
              <w:rPr>
                <w:sz w:val="20"/>
              </w:rPr>
              <w:t>11</w:t>
            </w:r>
            <w:r>
              <w:rPr>
                <w:sz w:val="20"/>
              </w:rPr>
              <w:t>）内置</w:t>
            </w:r>
            <w:r>
              <w:rPr>
                <w:sz w:val="20"/>
              </w:rPr>
              <w:t>FLASH</w:t>
            </w:r>
            <w:r>
              <w:rPr>
                <w:sz w:val="20"/>
              </w:rPr>
              <w:t>：内置</w:t>
            </w:r>
            <w:r>
              <w:rPr>
                <w:sz w:val="20"/>
              </w:rPr>
              <w:t>4MBFLASH</w:t>
            </w:r>
            <w:r>
              <w:rPr>
                <w:sz w:val="20"/>
              </w:rPr>
              <w:t>提供本地策略，离线缓存数据，本地联动策略等</w:t>
            </w:r>
            <w:r>
              <w:br/>
            </w:r>
            <w:r>
              <w:rPr>
                <w:sz w:val="20"/>
              </w:rPr>
              <w:t>(12</w:t>
            </w:r>
            <w:r>
              <w:rPr>
                <w:sz w:val="20"/>
              </w:rPr>
              <w:t>）时钟功能：内置高精度</w:t>
            </w:r>
            <w:r>
              <w:rPr>
                <w:sz w:val="20"/>
              </w:rPr>
              <w:t>RTC</w:t>
            </w:r>
            <w:r>
              <w:rPr>
                <w:sz w:val="20"/>
              </w:rPr>
              <w:t>，同时具备自动校时功能，保证设备时间精准。</w:t>
            </w:r>
            <w:r>
              <w:br/>
            </w:r>
            <w:r>
              <w:rPr>
                <w:sz w:val="20"/>
              </w:rPr>
              <w:t>(13</w:t>
            </w:r>
            <w:r>
              <w:rPr>
                <w:sz w:val="20"/>
              </w:rPr>
              <w:t>）设备自动监测工作状态，当设备偶发异常时，智能进行软件唤醒或硬件断电重启，将整个设备复位，确保设备实时正常运行</w:t>
            </w:r>
            <w:r>
              <w:br/>
            </w:r>
            <w:r>
              <w:rPr>
                <w:sz w:val="20"/>
              </w:rPr>
              <w:t>(14</w:t>
            </w:r>
            <w:r>
              <w:rPr>
                <w:sz w:val="20"/>
              </w:rPr>
              <w:t>）主动告警：支持开灯失败、关灯失败、过流、过压、欠压等告警上报。</w:t>
            </w:r>
            <w:r>
              <w:br/>
            </w:r>
            <w:r>
              <w:rPr>
                <w:sz w:val="20"/>
              </w:rPr>
              <w:t>(15</w:t>
            </w:r>
            <w:r>
              <w:rPr>
                <w:sz w:val="20"/>
              </w:rPr>
              <w:t>）远程配置：支持远程批量修改目标网络、心跳周期、时钟校准、数据校准等功能配置。</w:t>
            </w:r>
            <w:r>
              <w:br/>
            </w:r>
            <w:r>
              <w:rPr>
                <w:sz w:val="20"/>
              </w:rPr>
              <w:t>(16</w:t>
            </w:r>
            <w:r>
              <w:rPr>
                <w:sz w:val="20"/>
              </w:rPr>
              <w:t>）远程升级：支持通过平台远程批量升级固件。</w:t>
            </w:r>
            <w:r>
              <w:br/>
            </w:r>
            <w:r>
              <w:rPr>
                <w:sz w:val="20"/>
              </w:rPr>
              <w:t>(17</w:t>
            </w:r>
            <w:r>
              <w:rPr>
                <w:sz w:val="20"/>
              </w:rPr>
              <w:t>）灾备功能：支持主备中心设置，当主平台地址配错或平台故障，灯控自动启用备用中心，保障系统正常运转。</w:t>
            </w:r>
            <w:r>
              <w:br/>
            </w:r>
            <w:r>
              <w:rPr>
                <w:sz w:val="20"/>
              </w:rPr>
              <w:t>(19</w:t>
            </w:r>
            <w:r>
              <w:rPr>
                <w:sz w:val="20"/>
              </w:rPr>
              <w:t>）可选倾斜监测、漏电检测功能、水浸监测（</w:t>
            </w:r>
            <w:r>
              <w:rPr>
                <w:sz w:val="20"/>
              </w:rPr>
              <w:t>20</w:t>
            </w:r>
            <w:r>
              <w:rPr>
                <w:sz w:val="20"/>
              </w:rPr>
              <w:t>）通信方式：支持</w:t>
            </w:r>
            <w:r>
              <w:rPr>
                <w:sz w:val="20"/>
              </w:rPr>
              <w:t>4GCat1</w:t>
            </w:r>
            <w:r>
              <w:rPr>
                <w:sz w:val="20"/>
              </w:rPr>
              <w:t>全网通无线通讯，流量池管理，保障通讯持续。</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8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光通量</w:t>
            </w:r>
            <w:r>
              <w:rPr>
                <w:sz w:val="20"/>
              </w:rPr>
              <w:t>16000lmLED</w:t>
            </w:r>
            <w:r>
              <w:rPr>
                <w:sz w:val="20"/>
              </w:rPr>
              <w:t>路灯</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r>
              <w:rPr>
                <w:sz w:val="20"/>
              </w:rPr>
              <w:t>瓦高光效</w:t>
            </w:r>
            <w:r>
              <w:rPr>
                <w:sz w:val="20"/>
              </w:rPr>
              <w:t>LED</w:t>
            </w:r>
            <w:r>
              <w:rPr>
                <w:sz w:val="20"/>
              </w:rPr>
              <w:t>灯具</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w:t>
            </w:r>
            <w:r>
              <w:rPr>
                <w:sz w:val="20"/>
              </w:rPr>
              <w:t>80</w:t>
            </w:r>
            <w:r>
              <w:rPr>
                <w:sz w:val="20"/>
              </w:rPr>
              <w:t>瓦高光效</w:t>
            </w:r>
            <w:r>
              <w:rPr>
                <w:sz w:val="20"/>
              </w:rPr>
              <w:t>4G</w:t>
            </w:r>
            <w:r>
              <w:rPr>
                <w:sz w:val="20"/>
              </w:rPr>
              <w:t>物联智慧路灯；</w:t>
            </w:r>
            <w:r>
              <w:br/>
            </w:r>
            <w:r>
              <w:rPr>
                <w:sz w:val="20"/>
              </w:rPr>
              <w:t>2</w:t>
            </w:r>
            <w:r>
              <w:rPr>
                <w:sz w:val="20"/>
              </w:rPr>
              <w:t>、功率因数：</w:t>
            </w:r>
            <w:r>
              <w:rPr>
                <w:sz w:val="20"/>
              </w:rPr>
              <w:t>0.95</w:t>
            </w:r>
            <w:r>
              <w:rPr>
                <w:sz w:val="20"/>
              </w:rPr>
              <w:t>；</w:t>
            </w:r>
            <w:r>
              <w:br/>
            </w:r>
            <w:r>
              <w:rPr>
                <w:sz w:val="20"/>
              </w:rPr>
              <w:t>3</w:t>
            </w:r>
            <w:r>
              <w:rPr>
                <w:sz w:val="20"/>
              </w:rPr>
              <w:t>、整灯光效：</w:t>
            </w:r>
            <w:r>
              <w:rPr>
                <w:sz w:val="20"/>
              </w:rPr>
              <w:t>200lm/w</w:t>
            </w:r>
            <w:r>
              <w:rPr>
                <w:sz w:val="20"/>
              </w:rPr>
              <w:t>，整灯总光通量：</w:t>
            </w:r>
            <w:r>
              <w:rPr>
                <w:sz w:val="20"/>
              </w:rPr>
              <w:t>16000lm</w:t>
            </w:r>
            <w:r>
              <w:rPr>
                <w:sz w:val="20"/>
              </w:rPr>
              <w:t>；</w:t>
            </w:r>
            <w:r>
              <w:br/>
            </w:r>
            <w:r>
              <w:rPr>
                <w:sz w:val="20"/>
              </w:rPr>
              <w:t>4</w:t>
            </w:r>
            <w:r>
              <w:rPr>
                <w:sz w:val="20"/>
              </w:rPr>
              <w:t>、色温：</w:t>
            </w:r>
            <w:r>
              <w:rPr>
                <w:sz w:val="20"/>
              </w:rPr>
              <w:t>4000K</w:t>
            </w:r>
            <w:r>
              <w:rPr>
                <w:sz w:val="20"/>
              </w:rPr>
              <w:t>；</w:t>
            </w:r>
            <w:r>
              <w:br/>
            </w:r>
            <w:r>
              <w:rPr>
                <w:sz w:val="20"/>
              </w:rPr>
              <w:t>5</w:t>
            </w:r>
            <w:r>
              <w:rPr>
                <w:sz w:val="20"/>
              </w:rPr>
              <w:t>、显色指数：</w:t>
            </w:r>
            <w:r>
              <w:rPr>
                <w:sz w:val="20"/>
              </w:rPr>
              <w:t>Ra70</w:t>
            </w:r>
            <w:r>
              <w:rPr>
                <w:sz w:val="20"/>
              </w:rPr>
              <w:t>；</w:t>
            </w:r>
            <w:r>
              <w:br/>
            </w:r>
            <w:r>
              <w:rPr>
                <w:sz w:val="20"/>
              </w:rPr>
              <w:t>6</w:t>
            </w:r>
            <w:r>
              <w:rPr>
                <w:sz w:val="20"/>
              </w:rPr>
              <w:t>、防护等级：≥</w:t>
            </w:r>
            <w:r>
              <w:rPr>
                <w:sz w:val="20"/>
              </w:rPr>
              <w:t>IP66</w:t>
            </w:r>
            <w:r>
              <w:rPr>
                <w:sz w:val="20"/>
              </w:rPr>
              <w:t>；</w:t>
            </w:r>
            <w:r>
              <w:br/>
            </w:r>
            <w:r>
              <w:rPr>
                <w:sz w:val="20"/>
              </w:rPr>
              <w:t>7</w:t>
            </w:r>
            <w:r>
              <w:rPr>
                <w:sz w:val="20"/>
              </w:rPr>
              <w:t>、防触电等级：</w:t>
            </w:r>
            <w:r>
              <w:rPr>
                <w:sz w:val="20"/>
              </w:rPr>
              <w:t>CLASS</w:t>
            </w:r>
            <w:r>
              <w:rPr>
                <w:sz w:val="20"/>
              </w:rPr>
              <w:t>Ⅰ；</w:t>
            </w:r>
            <w:r>
              <w:br/>
            </w:r>
            <w:r>
              <w:rPr>
                <w:sz w:val="20"/>
              </w:rPr>
              <w:t>8</w:t>
            </w:r>
            <w:r>
              <w:rPr>
                <w:sz w:val="20"/>
              </w:rPr>
              <w:t>、灯具电气参数：</w:t>
            </w:r>
            <w:r>
              <w:rPr>
                <w:sz w:val="20"/>
              </w:rPr>
              <w:t>AC176-264V</w:t>
            </w:r>
            <w:r>
              <w:rPr>
                <w:sz w:val="20"/>
              </w:rPr>
              <w:t>，</w:t>
            </w:r>
            <w:r>
              <w:rPr>
                <w:sz w:val="20"/>
              </w:rPr>
              <w:t>50Hz</w:t>
            </w:r>
            <w:r>
              <w:rPr>
                <w:sz w:val="20"/>
              </w:rPr>
              <w:t>；</w:t>
            </w:r>
            <w:r>
              <w:br/>
            </w:r>
            <w:r>
              <w:rPr>
                <w:sz w:val="20"/>
              </w:rPr>
              <w:t>9</w:t>
            </w:r>
            <w:r>
              <w:rPr>
                <w:sz w:val="20"/>
              </w:rPr>
              <w:t>、光源模组采用模块化设计，适配灯臂φ</w:t>
            </w:r>
            <w:r>
              <w:rPr>
                <w:sz w:val="20"/>
              </w:rPr>
              <w:t>60</w:t>
            </w:r>
            <w:r>
              <w:rPr>
                <w:sz w:val="20"/>
              </w:rPr>
              <w:t>管。带防坠链，电气腔内可放单灯控制器。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150W</w:t>
            </w:r>
          </w:p>
        </w:tc>
      </w:tr>
      <w:tr>
        <w:tc>
          <w:tcPr>
            <w:tcW w:type="dxa" w:w="391"/>
            <w:vMerge/>
            <w:tcBorders>
              <w:top w:val="none" w:color="000000" w:sz="4"/>
              <w:left w:val="single" w:color="000000" w:sz="4"/>
              <w:bottom w:val="single" w:color="000000" w:sz="4"/>
              <w:right w:val="single" w:color="000000" w:sz="4"/>
            </w:tcBorders>
          </w:tcPr>
          <w:p/>
        </w:tc>
        <w:tc>
          <w:tcPr>
            <w:tcW w:type="dxa" w:w="813"/>
            <w:vMerge/>
            <w:tcBorders>
              <w:top w:val="none" w:color="000000" w:sz="4"/>
              <w:left w:val="non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单灯控制器</w:t>
            </w:r>
            <w:r>
              <w:rPr>
                <w:sz w:val="20"/>
              </w:rPr>
              <w:t>+100W</w:t>
            </w:r>
            <w:r>
              <w:rPr>
                <w:sz w:val="20"/>
              </w:rPr>
              <w:t>防水电源</w:t>
            </w:r>
            <w:r>
              <w:rPr>
                <w:sz w:val="20"/>
              </w:rPr>
              <w:t>+SPD</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）防护等级：≥</w:t>
            </w:r>
            <w:r>
              <w:rPr>
                <w:sz w:val="20"/>
              </w:rPr>
              <w:t>IP66</w:t>
            </w:r>
            <w:r>
              <w:br/>
            </w:r>
            <w:r>
              <w:rPr>
                <w:sz w:val="20"/>
              </w:rPr>
              <w:t>(2</w:t>
            </w:r>
            <w:r>
              <w:rPr>
                <w:sz w:val="20"/>
              </w:rPr>
              <w:t>）防浪涌等级：≥</w:t>
            </w:r>
            <w:r>
              <w:rPr>
                <w:sz w:val="20"/>
              </w:rPr>
              <w:t>6KV</w:t>
            </w:r>
            <w:r>
              <w:br/>
            </w:r>
            <w:r>
              <w:rPr>
                <w:sz w:val="20"/>
              </w:rPr>
              <w:t>(3</w:t>
            </w:r>
            <w:r>
              <w:rPr>
                <w:sz w:val="20"/>
              </w:rPr>
              <w:t>）工作温度：</w:t>
            </w:r>
            <w:r>
              <w:rPr>
                <w:sz w:val="20"/>
              </w:rPr>
              <w:t>-35</w:t>
            </w:r>
            <w:r>
              <w:rPr>
                <w:sz w:val="20"/>
              </w:rPr>
              <w:t>℃～</w:t>
            </w:r>
            <w:r>
              <w:rPr>
                <w:sz w:val="20"/>
              </w:rPr>
              <w:t>+75</w:t>
            </w:r>
            <w:r>
              <w:rPr>
                <w:sz w:val="20"/>
              </w:rPr>
              <w:t>℃</w:t>
            </w:r>
            <w:r>
              <w:br/>
            </w:r>
            <w:r>
              <w:rPr>
                <w:sz w:val="20"/>
              </w:rPr>
              <w:t>(4</w:t>
            </w:r>
            <w:r>
              <w:rPr>
                <w:sz w:val="20"/>
              </w:rPr>
              <w:t>）工作电压：</w:t>
            </w:r>
            <w:r>
              <w:rPr>
                <w:sz w:val="20"/>
              </w:rPr>
              <w:t>110~265VAC</w:t>
            </w:r>
            <w:r>
              <w:rPr>
                <w:sz w:val="20"/>
              </w:rPr>
              <w:t>，</w:t>
            </w:r>
            <w:r>
              <w:rPr>
                <w:sz w:val="20"/>
              </w:rPr>
              <w:t>50</w:t>
            </w:r>
            <w:r>
              <w:rPr>
                <w:sz w:val="20"/>
              </w:rPr>
              <w:t>～</w:t>
            </w:r>
            <w:r>
              <w:rPr>
                <w:sz w:val="20"/>
              </w:rPr>
              <w:t>60Hz</w:t>
            </w:r>
            <w:r>
              <w:rPr>
                <w:sz w:val="20"/>
              </w:rPr>
              <w:t>。</w:t>
            </w:r>
            <w:r>
              <w:br/>
            </w:r>
            <w:r>
              <w:rPr>
                <w:sz w:val="20"/>
              </w:rPr>
              <w:t>(5</w:t>
            </w:r>
            <w:r>
              <w:rPr>
                <w:sz w:val="20"/>
              </w:rPr>
              <w:t>）输出功率：≤</w:t>
            </w:r>
            <w:r>
              <w:rPr>
                <w:sz w:val="20"/>
              </w:rPr>
              <w:t>1200W</w:t>
            </w:r>
            <w:r>
              <w:br/>
            </w:r>
            <w:r>
              <w:rPr>
                <w:sz w:val="20"/>
              </w:rPr>
              <w:t>(6</w:t>
            </w:r>
            <w:r>
              <w:rPr>
                <w:sz w:val="20"/>
              </w:rPr>
              <w:t>）额定功耗：有功功耗</w:t>
            </w:r>
            <w:r>
              <w:rPr>
                <w:sz w:val="20"/>
              </w:rPr>
              <w:t>&lt;1W</w:t>
            </w:r>
            <w:r>
              <w:rPr>
                <w:sz w:val="20"/>
              </w:rPr>
              <w:t>，视在功耗</w:t>
            </w:r>
            <w:r>
              <w:rPr>
                <w:sz w:val="20"/>
              </w:rPr>
              <w:t>&lt;3W</w:t>
            </w:r>
            <w:r>
              <w:br/>
            </w:r>
            <w:r>
              <w:rPr>
                <w:sz w:val="20"/>
              </w:rPr>
              <w:t>(7</w:t>
            </w:r>
            <w:r>
              <w:rPr>
                <w:sz w:val="20"/>
              </w:rPr>
              <w:t>）独立工业级</w:t>
            </w:r>
            <w:r>
              <w:rPr>
                <w:sz w:val="20"/>
              </w:rPr>
              <w:t>MCU</w:t>
            </w:r>
            <w:r>
              <w:rPr>
                <w:sz w:val="20"/>
              </w:rPr>
              <w:t>设计，实现与通信模块解耦，可独立运行系统功能，当模块异常时，仍可独立执行本地策略，保证设备稳定运行。同时</w:t>
            </w:r>
            <w:r>
              <w:rPr>
                <w:sz w:val="20"/>
              </w:rPr>
              <w:t>MCU</w:t>
            </w:r>
            <w:r>
              <w:rPr>
                <w:sz w:val="20"/>
              </w:rPr>
              <w:t>集成经过深度优化的</w:t>
            </w:r>
            <w:r>
              <w:rPr>
                <w:sz w:val="20"/>
              </w:rPr>
              <w:t>LWIP</w:t>
            </w:r>
            <w:r>
              <w:rPr>
                <w:sz w:val="20"/>
              </w:rPr>
              <w:t>协议栈，可有效避免假在线等问题，并快速定位网络故障，确保设备实时稳定在线。</w:t>
            </w:r>
            <w:r>
              <w:br/>
            </w:r>
            <w:r>
              <w:rPr>
                <w:sz w:val="20"/>
              </w:rPr>
              <w:t>(8</w:t>
            </w:r>
            <w:r>
              <w:rPr>
                <w:sz w:val="20"/>
              </w:rPr>
              <w:t>）设备状态和数据检测功能：支持自动巡测灯具，包括开关状态、调光状态、亮灯时长、电压、电流、功率、能耗等。</w:t>
            </w:r>
            <w:r>
              <w:br/>
            </w:r>
            <w:r>
              <w:rPr>
                <w:sz w:val="20"/>
              </w:rPr>
              <w:t>(9</w:t>
            </w:r>
            <w:r>
              <w:rPr>
                <w:sz w:val="20"/>
              </w:rPr>
              <w:t>）远程控制功能：支持远程开关、调光、策略控制；支持</w:t>
            </w:r>
            <w:r>
              <w:rPr>
                <w:sz w:val="20"/>
              </w:rPr>
              <w:t>0</w:t>
            </w:r>
            <w:r>
              <w:rPr>
                <w:sz w:val="20"/>
              </w:rPr>
              <w:t>～</w:t>
            </w:r>
            <w:r>
              <w:rPr>
                <w:sz w:val="20"/>
              </w:rPr>
              <w:t>10V</w:t>
            </w:r>
            <w:r>
              <w:rPr>
                <w:sz w:val="20"/>
              </w:rPr>
              <w:t>和</w:t>
            </w:r>
            <w:r>
              <w:rPr>
                <w:sz w:val="20"/>
              </w:rPr>
              <w:t>PWM</w:t>
            </w:r>
            <w:r>
              <w:rPr>
                <w:sz w:val="20"/>
              </w:rPr>
              <w:t>无级调光。</w:t>
            </w:r>
            <w:r>
              <w:br/>
            </w:r>
            <w:r>
              <w:rPr>
                <w:sz w:val="20"/>
              </w:rPr>
              <w:t>(10</w:t>
            </w:r>
            <w:r>
              <w:rPr>
                <w:sz w:val="20"/>
              </w:rPr>
              <w:t>）端策略功能：支持设备本地定时策略、节假日策略、经纬度策略，确保通讯异常或平台故障时前端系统能正常运行。（</w:t>
            </w:r>
            <w:r>
              <w:rPr>
                <w:sz w:val="20"/>
              </w:rPr>
              <w:t>11</w:t>
            </w:r>
            <w:r>
              <w:rPr>
                <w:sz w:val="20"/>
              </w:rPr>
              <w:t>）内置</w:t>
            </w:r>
            <w:r>
              <w:rPr>
                <w:sz w:val="20"/>
              </w:rPr>
              <w:t>FLASH</w:t>
            </w:r>
            <w:r>
              <w:rPr>
                <w:sz w:val="20"/>
              </w:rPr>
              <w:t>：内置</w:t>
            </w:r>
            <w:r>
              <w:rPr>
                <w:sz w:val="20"/>
              </w:rPr>
              <w:t>4MBFLASH</w:t>
            </w:r>
            <w:r>
              <w:rPr>
                <w:sz w:val="20"/>
              </w:rPr>
              <w:t>提供本地策略，离线缓存数据，本地联动策略等</w:t>
            </w:r>
            <w:r>
              <w:br/>
            </w:r>
            <w:r>
              <w:rPr>
                <w:sz w:val="20"/>
              </w:rPr>
              <w:t>(12</w:t>
            </w:r>
            <w:r>
              <w:rPr>
                <w:sz w:val="20"/>
              </w:rPr>
              <w:t>）时钟功能：内置高精度</w:t>
            </w:r>
            <w:r>
              <w:rPr>
                <w:sz w:val="20"/>
              </w:rPr>
              <w:t>RTC</w:t>
            </w:r>
            <w:r>
              <w:rPr>
                <w:sz w:val="20"/>
              </w:rPr>
              <w:t>，同时具备自动校时功能，保证设备时间精准。</w:t>
            </w:r>
            <w:r>
              <w:br/>
            </w:r>
            <w:r>
              <w:rPr>
                <w:sz w:val="20"/>
              </w:rPr>
              <w:t>(13</w:t>
            </w:r>
            <w:r>
              <w:rPr>
                <w:sz w:val="20"/>
              </w:rPr>
              <w:t>）设备自动监测工作状态，当设备偶发异常时，智能进行软件唤醒或硬件断电重启，将整个设备复位，确保设备实时正常运行</w:t>
            </w:r>
            <w:r>
              <w:br/>
            </w:r>
            <w:r>
              <w:rPr>
                <w:sz w:val="20"/>
              </w:rPr>
              <w:t>(14</w:t>
            </w:r>
            <w:r>
              <w:rPr>
                <w:sz w:val="20"/>
              </w:rPr>
              <w:t>）主动告警：支持开灯失败、关灯失败、过流、过压、欠压等告警上报。</w:t>
            </w:r>
            <w:r>
              <w:br/>
            </w:r>
            <w:r>
              <w:rPr>
                <w:sz w:val="20"/>
              </w:rPr>
              <w:t>(15</w:t>
            </w:r>
            <w:r>
              <w:rPr>
                <w:sz w:val="20"/>
              </w:rPr>
              <w:t>）远程配置：支持远程批量修改目标网络、心跳周期、时钟校准、数据校准等功能配置。</w:t>
            </w:r>
            <w:r>
              <w:br/>
            </w:r>
            <w:r>
              <w:rPr>
                <w:sz w:val="20"/>
              </w:rPr>
              <w:t>(16</w:t>
            </w:r>
            <w:r>
              <w:rPr>
                <w:sz w:val="20"/>
              </w:rPr>
              <w:t>）远程升级：支持通过平台远程批量升级固件。</w:t>
            </w:r>
            <w:r>
              <w:br/>
            </w:r>
            <w:r>
              <w:rPr>
                <w:sz w:val="20"/>
              </w:rPr>
              <w:t>(17</w:t>
            </w:r>
            <w:r>
              <w:rPr>
                <w:sz w:val="20"/>
              </w:rPr>
              <w:t>）灾备功能：支持主备中心设置，当主平台地址配错或平台故障，灯控自动启用备用中心，保障系统正常运转。</w:t>
            </w:r>
            <w:r>
              <w:br/>
            </w:r>
            <w:r>
              <w:rPr>
                <w:sz w:val="20"/>
              </w:rPr>
              <w:t>(19</w:t>
            </w:r>
            <w:r>
              <w:rPr>
                <w:sz w:val="20"/>
              </w:rPr>
              <w:t>）可选倾斜监测、漏电检测功能、水浸监测（</w:t>
            </w:r>
            <w:r>
              <w:rPr>
                <w:sz w:val="20"/>
              </w:rPr>
              <w:t>20</w:t>
            </w:r>
            <w:r>
              <w:rPr>
                <w:sz w:val="20"/>
              </w:rPr>
              <w:t>）通信方式：支持</w:t>
            </w:r>
            <w:r>
              <w:rPr>
                <w:sz w:val="20"/>
              </w:rPr>
              <w:t>4GCat1</w:t>
            </w:r>
            <w:r>
              <w:rPr>
                <w:sz w:val="20"/>
              </w:rPr>
              <w:t>全网通无线通讯，流量池管理，保障通讯持续</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8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光通量</w:t>
            </w:r>
            <w:r>
              <w:rPr>
                <w:sz w:val="20"/>
              </w:rPr>
              <w:t>20000lmLED</w:t>
            </w:r>
            <w:r>
              <w:rPr>
                <w:sz w:val="20"/>
              </w:rPr>
              <w:t>路灯</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r>
              <w:rPr>
                <w:sz w:val="20"/>
              </w:rPr>
              <w:t>瓦高光效</w:t>
            </w:r>
            <w:r>
              <w:rPr>
                <w:sz w:val="20"/>
              </w:rPr>
              <w:t>LED</w:t>
            </w:r>
            <w:r>
              <w:rPr>
                <w:sz w:val="20"/>
              </w:rPr>
              <w:t>灯具</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1</w:t>
            </w:r>
            <w:r>
              <w:rPr>
                <w:sz w:val="20"/>
              </w:rPr>
              <w:t>、</w:t>
            </w:r>
            <w:r>
              <w:rPr>
                <w:sz w:val="20"/>
              </w:rPr>
              <w:t>100</w:t>
            </w:r>
            <w:r>
              <w:rPr>
                <w:sz w:val="20"/>
              </w:rPr>
              <w:t>瓦高光效</w:t>
            </w:r>
            <w:r>
              <w:rPr>
                <w:sz w:val="20"/>
              </w:rPr>
              <w:t>4G</w:t>
            </w:r>
            <w:r>
              <w:rPr>
                <w:sz w:val="20"/>
              </w:rPr>
              <w:t>物联智慧路灯；</w:t>
            </w:r>
            <w:r>
              <w:br/>
            </w:r>
            <w:r>
              <w:rPr>
                <w:sz w:val="20"/>
              </w:rPr>
              <w:t>2</w:t>
            </w:r>
            <w:r>
              <w:rPr>
                <w:sz w:val="20"/>
              </w:rPr>
              <w:t>、功率因数：</w:t>
            </w:r>
            <w:r>
              <w:rPr>
                <w:sz w:val="20"/>
              </w:rPr>
              <w:t>0.95</w:t>
            </w:r>
            <w:r>
              <w:rPr>
                <w:sz w:val="20"/>
              </w:rPr>
              <w:t>；</w:t>
            </w:r>
            <w:r>
              <w:br/>
            </w:r>
            <w:r>
              <w:rPr>
                <w:sz w:val="20"/>
              </w:rPr>
              <w:t>3</w:t>
            </w:r>
            <w:r>
              <w:rPr>
                <w:sz w:val="20"/>
              </w:rPr>
              <w:t>、整灯光效：</w:t>
            </w:r>
            <w:r>
              <w:rPr>
                <w:sz w:val="20"/>
              </w:rPr>
              <w:t>200lm/w</w:t>
            </w:r>
            <w:r>
              <w:rPr>
                <w:sz w:val="20"/>
              </w:rPr>
              <w:t>，整灯总光通量：</w:t>
            </w:r>
            <w:r>
              <w:rPr>
                <w:sz w:val="20"/>
              </w:rPr>
              <w:t>20000lm</w:t>
            </w:r>
            <w:r>
              <w:rPr>
                <w:sz w:val="20"/>
              </w:rPr>
              <w:t>；</w:t>
            </w:r>
            <w:r>
              <w:br/>
            </w:r>
            <w:r>
              <w:rPr>
                <w:sz w:val="20"/>
              </w:rPr>
              <w:t>4</w:t>
            </w:r>
            <w:r>
              <w:rPr>
                <w:sz w:val="20"/>
              </w:rPr>
              <w:t>、色温：</w:t>
            </w:r>
            <w:r>
              <w:rPr>
                <w:sz w:val="20"/>
              </w:rPr>
              <w:t>4000K</w:t>
            </w:r>
            <w:r>
              <w:rPr>
                <w:sz w:val="20"/>
              </w:rPr>
              <w:t>；</w:t>
            </w:r>
            <w:r>
              <w:br/>
            </w:r>
            <w:r>
              <w:rPr>
                <w:sz w:val="20"/>
              </w:rPr>
              <w:t>5</w:t>
            </w:r>
            <w:r>
              <w:rPr>
                <w:sz w:val="20"/>
              </w:rPr>
              <w:t>、显色指数：</w:t>
            </w:r>
            <w:r>
              <w:rPr>
                <w:sz w:val="20"/>
              </w:rPr>
              <w:t>Ra70</w:t>
            </w:r>
            <w:r>
              <w:rPr>
                <w:sz w:val="20"/>
              </w:rPr>
              <w:t>；</w:t>
            </w:r>
            <w:r>
              <w:br/>
            </w:r>
            <w:r>
              <w:rPr>
                <w:sz w:val="20"/>
              </w:rPr>
              <w:t>6</w:t>
            </w:r>
            <w:r>
              <w:rPr>
                <w:sz w:val="20"/>
              </w:rPr>
              <w:t>、防护等级：≥</w:t>
            </w:r>
            <w:r>
              <w:rPr>
                <w:sz w:val="20"/>
              </w:rPr>
              <w:t>IP66</w:t>
            </w:r>
            <w:r>
              <w:rPr>
                <w:sz w:val="20"/>
              </w:rPr>
              <w:t>；</w:t>
            </w:r>
            <w:r>
              <w:br/>
            </w:r>
            <w:r>
              <w:rPr>
                <w:sz w:val="20"/>
              </w:rPr>
              <w:t>7</w:t>
            </w:r>
            <w:r>
              <w:rPr>
                <w:sz w:val="20"/>
              </w:rPr>
              <w:t>、防触电等级：</w:t>
            </w:r>
            <w:r>
              <w:rPr>
                <w:sz w:val="20"/>
              </w:rPr>
              <w:t>CLASS</w:t>
            </w:r>
            <w:r>
              <w:rPr>
                <w:sz w:val="20"/>
              </w:rPr>
              <w:t>Ⅰ；</w:t>
            </w:r>
            <w:r>
              <w:br/>
            </w:r>
            <w:r>
              <w:rPr>
                <w:sz w:val="20"/>
              </w:rPr>
              <w:t>8</w:t>
            </w:r>
            <w:r>
              <w:rPr>
                <w:sz w:val="20"/>
              </w:rPr>
              <w:t>、灯具电气参数：</w:t>
            </w:r>
            <w:r>
              <w:rPr>
                <w:sz w:val="20"/>
              </w:rPr>
              <w:t>AC176-264V</w:t>
            </w:r>
            <w:r>
              <w:rPr>
                <w:sz w:val="20"/>
              </w:rPr>
              <w:t>，</w:t>
            </w:r>
            <w:r>
              <w:rPr>
                <w:sz w:val="20"/>
              </w:rPr>
              <w:t>50Hz</w:t>
            </w:r>
            <w:r>
              <w:rPr>
                <w:sz w:val="20"/>
              </w:rPr>
              <w:t>；</w:t>
            </w:r>
            <w:r>
              <w:br/>
            </w:r>
            <w:r>
              <w:rPr>
                <w:sz w:val="20"/>
              </w:rPr>
              <w:t>9</w:t>
            </w:r>
            <w:r>
              <w:rPr>
                <w:sz w:val="20"/>
              </w:rPr>
              <w:t>、光源模组采用模块化设计，适配灯臂φ</w:t>
            </w:r>
            <w:r>
              <w:rPr>
                <w:sz w:val="20"/>
              </w:rPr>
              <w:t>60</w:t>
            </w:r>
            <w:r>
              <w:rPr>
                <w:sz w:val="20"/>
              </w:rPr>
              <w:t>管。带防坠链，电气腔内可放单灯控制器。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200W</w:t>
            </w:r>
          </w:p>
        </w:tc>
      </w:tr>
      <w:tr>
        <w:tc>
          <w:tcPr>
            <w:tcW w:type="dxa" w:w="391"/>
            <w:vMerge/>
            <w:tcBorders>
              <w:top w:val="none" w:color="000000" w:sz="4"/>
              <w:left w:val="single" w:color="000000" w:sz="4"/>
              <w:bottom w:val="single" w:color="000000" w:sz="4"/>
              <w:right w:val="single" w:color="000000" w:sz="4"/>
            </w:tcBorders>
          </w:tcPr>
          <w:p/>
        </w:tc>
        <w:tc>
          <w:tcPr>
            <w:tcW w:type="dxa" w:w="813"/>
            <w:vMerge/>
            <w:tcBorders>
              <w:top w:val="none" w:color="000000" w:sz="4"/>
              <w:left w:val="non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单灯控制器</w:t>
            </w:r>
            <w:r>
              <w:rPr>
                <w:sz w:val="20"/>
              </w:rPr>
              <w:t>+100W</w:t>
            </w:r>
            <w:r>
              <w:rPr>
                <w:sz w:val="20"/>
              </w:rPr>
              <w:t>防水电源</w:t>
            </w:r>
            <w:r>
              <w:rPr>
                <w:sz w:val="20"/>
              </w:rPr>
              <w:t>+SPD</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）防护等级：≥</w:t>
            </w:r>
            <w:r>
              <w:rPr>
                <w:sz w:val="20"/>
              </w:rPr>
              <w:t>IP66</w:t>
            </w:r>
            <w:r>
              <w:br/>
            </w:r>
            <w:r>
              <w:rPr>
                <w:sz w:val="20"/>
              </w:rPr>
              <w:t>(2</w:t>
            </w:r>
            <w:r>
              <w:rPr>
                <w:sz w:val="20"/>
              </w:rPr>
              <w:t>）防浪涌等级：≥</w:t>
            </w:r>
            <w:r>
              <w:rPr>
                <w:sz w:val="20"/>
              </w:rPr>
              <w:t>6KV</w:t>
            </w:r>
            <w:r>
              <w:br/>
            </w:r>
            <w:r>
              <w:rPr>
                <w:sz w:val="20"/>
              </w:rPr>
              <w:t>(3</w:t>
            </w:r>
            <w:r>
              <w:rPr>
                <w:sz w:val="20"/>
              </w:rPr>
              <w:t>）工作温度：</w:t>
            </w:r>
            <w:r>
              <w:rPr>
                <w:sz w:val="20"/>
              </w:rPr>
              <w:t>-35</w:t>
            </w:r>
            <w:r>
              <w:rPr>
                <w:sz w:val="20"/>
              </w:rPr>
              <w:t>℃～</w:t>
            </w:r>
            <w:r>
              <w:rPr>
                <w:sz w:val="20"/>
              </w:rPr>
              <w:t>+75</w:t>
            </w:r>
            <w:r>
              <w:rPr>
                <w:sz w:val="20"/>
              </w:rPr>
              <w:t>℃</w:t>
            </w:r>
            <w:r>
              <w:br/>
            </w:r>
            <w:r>
              <w:rPr>
                <w:sz w:val="20"/>
              </w:rPr>
              <w:t>(4</w:t>
            </w:r>
            <w:r>
              <w:rPr>
                <w:sz w:val="20"/>
              </w:rPr>
              <w:t>）工作电压：</w:t>
            </w:r>
            <w:r>
              <w:rPr>
                <w:sz w:val="20"/>
              </w:rPr>
              <w:t>110~265VAC</w:t>
            </w:r>
            <w:r>
              <w:rPr>
                <w:sz w:val="20"/>
              </w:rPr>
              <w:t>，</w:t>
            </w:r>
            <w:r>
              <w:rPr>
                <w:sz w:val="20"/>
              </w:rPr>
              <w:t>50</w:t>
            </w:r>
            <w:r>
              <w:rPr>
                <w:sz w:val="20"/>
              </w:rPr>
              <w:t>～</w:t>
            </w:r>
            <w:r>
              <w:rPr>
                <w:sz w:val="20"/>
              </w:rPr>
              <w:t>60Hz</w:t>
            </w:r>
            <w:r>
              <w:rPr>
                <w:sz w:val="20"/>
              </w:rPr>
              <w:t>。</w:t>
            </w:r>
            <w:r>
              <w:br/>
            </w:r>
            <w:r>
              <w:rPr>
                <w:sz w:val="20"/>
              </w:rPr>
              <w:t>(5</w:t>
            </w:r>
            <w:r>
              <w:rPr>
                <w:sz w:val="20"/>
              </w:rPr>
              <w:t>）输出功率：≤</w:t>
            </w:r>
            <w:r>
              <w:rPr>
                <w:sz w:val="20"/>
              </w:rPr>
              <w:t>1200W</w:t>
            </w:r>
            <w:r>
              <w:br/>
            </w:r>
            <w:r>
              <w:rPr>
                <w:sz w:val="20"/>
              </w:rPr>
              <w:t>(6</w:t>
            </w:r>
            <w:r>
              <w:rPr>
                <w:sz w:val="20"/>
              </w:rPr>
              <w:t>）额定功耗：有功功耗</w:t>
            </w:r>
            <w:r>
              <w:rPr>
                <w:sz w:val="20"/>
              </w:rPr>
              <w:t>&lt;1W</w:t>
            </w:r>
            <w:r>
              <w:rPr>
                <w:sz w:val="20"/>
              </w:rPr>
              <w:t>，视在功耗</w:t>
            </w:r>
            <w:r>
              <w:rPr>
                <w:sz w:val="20"/>
              </w:rPr>
              <w:t>&lt;3W</w:t>
            </w:r>
            <w:r>
              <w:br/>
            </w:r>
            <w:r>
              <w:rPr>
                <w:sz w:val="20"/>
              </w:rPr>
              <w:t>(7</w:t>
            </w:r>
            <w:r>
              <w:rPr>
                <w:sz w:val="20"/>
              </w:rPr>
              <w:t>）独立工业级</w:t>
            </w:r>
            <w:r>
              <w:rPr>
                <w:sz w:val="20"/>
              </w:rPr>
              <w:t>MCU</w:t>
            </w:r>
            <w:r>
              <w:rPr>
                <w:sz w:val="20"/>
              </w:rPr>
              <w:t>设计，实现与通信模块解耦，可独立运行系统功能，当模块异常时，仍可独立执行本地策略，保证设备稳定运行。同时</w:t>
            </w:r>
            <w:r>
              <w:rPr>
                <w:sz w:val="20"/>
              </w:rPr>
              <w:t>MCU</w:t>
            </w:r>
            <w:r>
              <w:rPr>
                <w:sz w:val="20"/>
              </w:rPr>
              <w:t>集成经过深度优化的</w:t>
            </w:r>
            <w:r>
              <w:rPr>
                <w:sz w:val="20"/>
              </w:rPr>
              <w:t>LWIP</w:t>
            </w:r>
            <w:r>
              <w:rPr>
                <w:sz w:val="20"/>
              </w:rPr>
              <w:t>协议栈，可有效避免假在线等问题，并快速定位网络故障，确保设备实时稳定在线。</w:t>
            </w:r>
            <w:r>
              <w:br/>
            </w:r>
            <w:r>
              <w:rPr>
                <w:sz w:val="20"/>
              </w:rPr>
              <w:t>(8</w:t>
            </w:r>
            <w:r>
              <w:rPr>
                <w:sz w:val="20"/>
              </w:rPr>
              <w:t>）设备状态和数据检测功能：支持自动巡测灯具，包括开关状态、调光状态、亮灯时长、电压、电流、功率、能耗等。</w:t>
            </w:r>
            <w:r>
              <w:br/>
            </w:r>
            <w:r>
              <w:rPr>
                <w:sz w:val="20"/>
              </w:rPr>
              <w:t>(9</w:t>
            </w:r>
            <w:r>
              <w:rPr>
                <w:sz w:val="20"/>
              </w:rPr>
              <w:t>）远程控制功能：支持远程开关、调光、策略控制；支持</w:t>
            </w:r>
            <w:r>
              <w:rPr>
                <w:sz w:val="20"/>
              </w:rPr>
              <w:t>0</w:t>
            </w:r>
            <w:r>
              <w:rPr>
                <w:sz w:val="20"/>
              </w:rPr>
              <w:t>～</w:t>
            </w:r>
            <w:r>
              <w:rPr>
                <w:sz w:val="20"/>
              </w:rPr>
              <w:t>10V</w:t>
            </w:r>
            <w:r>
              <w:rPr>
                <w:sz w:val="20"/>
              </w:rPr>
              <w:t>和</w:t>
            </w:r>
            <w:r>
              <w:rPr>
                <w:sz w:val="20"/>
              </w:rPr>
              <w:t>PWM</w:t>
            </w:r>
            <w:r>
              <w:rPr>
                <w:sz w:val="20"/>
              </w:rPr>
              <w:t>无级调光。</w:t>
            </w:r>
            <w:r>
              <w:br/>
            </w:r>
            <w:r>
              <w:rPr>
                <w:sz w:val="20"/>
              </w:rPr>
              <w:t>(10</w:t>
            </w:r>
            <w:r>
              <w:rPr>
                <w:sz w:val="20"/>
              </w:rPr>
              <w:t>）端策略功能：支持设备本地定时策略、节假日策略、经纬度策略，确保通讯异常或平台故障时前端系统能正常运行。</w:t>
            </w:r>
          </w:p>
          <w:p>
            <w:pPr>
              <w:pStyle w:val="null3"/>
              <w:jc w:val="left"/>
            </w:pPr>
            <w:r>
              <w:rPr>
                <w:sz w:val="20"/>
              </w:rPr>
              <w:t>(11</w:t>
            </w:r>
            <w:r>
              <w:rPr>
                <w:sz w:val="20"/>
              </w:rPr>
              <w:t>）内置</w:t>
            </w:r>
            <w:r>
              <w:rPr>
                <w:sz w:val="20"/>
              </w:rPr>
              <w:t>FLASH</w:t>
            </w:r>
            <w:r>
              <w:rPr>
                <w:sz w:val="20"/>
              </w:rPr>
              <w:t>：内置</w:t>
            </w:r>
            <w:r>
              <w:rPr>
                <w:sz w:val="20"/>
              </w:rPr>
              <w:t>4MBFLASH</w:t>
            </w:r>
            <w:r>
              <w:rPr>
                <w:sz w:val="20"/>
              </w:rPr>
              <w:t>提供本地策略，离线缓存数据，本地联动策略等</w:t>
            </w:r>
            <w:r>
              <w:br/>
            </w:r>
            <w:r>
              <w:rPr>
                <w:sz w:val="20"/>
              </w:rPr>
              <w:t>(12</w:t>
            </w:r>
            <w:r>
              <w:rPr>
                <w:sz w:val="20"/>
              </w:rPr>
              <w:t>）时钟功能：内置高精度</w:t>
            </w:r>
            <w:r>
              <w:rPr>
                <w:sz w:val="20"/>
              </w:rPr>
              <w:t>RTC</w:t>
            </w:r>
            <w:r>
              <w:rPr>
                <w:sz w:val="20"/>
              </w:rPr>
              <w:t>，同时具备自动校时功能，保证设备时间精准。</w:t>
            </w:r>
            <w:r>
              <w:br/>
            </w:r>
            <w:r>
              <w:rPr>
                <w:sz w:val="20"/>
              </w:rPr>
              <w:t>(13</w:t>
            </w:r>
            <w:r>
              <w:rPr>
                <w:sz w:val="20"/>
              </w:rPr>
              <w:t>）设备自动监测工作状态，当设备偶发异常时，智能进行软件唤醒或硬件断电重启，将整个设备复位，确保设备实时正常运行</w:t>
            </w:r>
            <w:r>
              <w:br/>
            </w:r>
            <w:r>
              <w:rPr>
                <w:sz w:val="20"/>
              </w:rPr>
              <w:t>(14</w:t>
            </w:r>
            <w:r>
              <w:rPr>
                <w:sz w:val="20"/>
              </w:rPr>
              <w:t>）主动告警：支持开灯失败、关灯失败、过流、过压、欠压等告警上报。</w:t>
            </w:r>
            <w:r>
              <w:br/>
            </w:r>
            <w:r>
              <w:rPr>
                <w:sz w:val="20"/>
              </w:rPr>
              <w:t>(15</w:t>
            </w:r>
            <w:r>
              <w:rPr>
                <w:sz w:val="20"/>
              </w:rPr>
              <w:t>）远程配置：支持远程批量修改目标网络、心跳周期、时钟校准、数据校准等功能配置。</w:t>
            </w:r>
            <w:r>
              <w:br/>
            </w:r>
            <w:r>
              <w:rPr>
                <w:sz w:val="20"/>
              </w:rPr>
              <w:t>(16</w:t>
            </w:r>
            <w:r>
              <w:rPr>
                <w:sz w:val="20"/>
              </w:rPr>
              <w:t>）远程升级：支持通过平台远程批量升级固件。</w:t>
            </w:r>
            <w:r>
              <w:br/>
            </w:r>
            <w:r>
              <w:rPr>
                <w:sz w:val="20"/>
              </w:rPr>
              <w:t>(17</w:t>
            </w:r>
            <w:r>
              <w:rPr>
                <w:sz w:val="20"/>
              </w:rPr>
              <w:t>）灾备功能：支持主备中心设置，当主平台地址配错或平台故障，灯控自动启用备用中心，保障系统正常运转。</w:t>
            </w:r>
            <w:r>
              <w:br/>
            </w:r>
            <w:r>
              <w:rPr>
                <w:sz w:val="20"/>
              </w:rPr>
              <w:t>(19</w:t>
            </w:r>
            <w:r>
              <w:rPr>
                <w:sz w:val="20"/>
              </w:rPr>
              <w:t>）可选倾斜监测、漏电检测功能、水浸监测（</w:t>
            </w:r>
            <w:r>
              <w:rPr>
                <w:sz w:val="20"/>
              </w:rPr>
              <w:t>20</w:t>
            </w:r>
            <w:r>
              <w:rPr>
                <w:sz w:val="20"/>
              </w:rPr>
              <w:t>）通信方式：支持</w:t>
            </w:r>
            <w:r>
              <w:rPr>
                <w:sz w:val="20"/>
              </w:rPr>
              <w:t>4GCat1</w:t>
            </w:r>
            <w:r>
              <w:rPr>
                <w:sz w:val="20"/>
              </w:rPr>
              <w:t>全网通无线通讯，流量池管理，保障通讯持续。</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智慧集中控制器</w:t>
            </w:r>
          </w:p>
        </w:tc>
        <w:tc>
          <w:tcPr>
            <w:tcW w:type="dxa" w:w="4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rPr>
              <w:t>1</w:t>
            </w:r>
            <w:r>
              <w:rPr>
                <w:sz w:val="20"/>
              </w:rPr>
              <w:t>）配备丰富的行业应用接口，包括</w:t>
            </w:r>
            <w:r>
              <w:rPr>
                <w:sz w:val="20"/>
              </w:rPr>
              <w:t>LAN</w:t>
            </w:r>
            <w:r>
              <w:rPr>
                <w:sz w:val="20"/>
              </w:rPr>
              <w:t>口、</w:t>
            </w:r>
            <w:r>
              <w:rPr>
                <w:sz w:val="20"/>
              </w:rPr>
              <w:t>4</w:t>
            </w:r>
            <w:r>
              <w:rPr>
                <w:sz w:val="20"/>
              </w:rPr>
              <w:t>路（</w:t>
            </w:r>
            <w:r>
              <w:rPr>
                <w:sz w:val="20"/>
              </w:rPr>
              <w:t>10</w:t>
            </w:r>
            <w:r>
              <w:rPr>
                <w:sz w:val="20"/>
              </w:rPr>
              <w:t>路）继电器输出、</w:t>
            </w:r>
            <w:r>
              <w:rPr>
                <w:sz w:val="20"/>
              </w:rPr>
              <w:t>4</w:t>
            </w:r>
            <w:r>
              <w:rPr>
                <w:sz w:val="20"/>
              </w:rPr>
              <w:t>路（</w:t>
            </w:r>
            <w:r>
              <w:rPr>
                <w:sz w:val="20"/>
              </w:rPr>
              <w:t>10</w:t>
            </w:r>
            <w:r>
              <w:rPr>
                <w:sz w:val="20"/>
              </w:rPr>
              <w:t>路）开关量输入、</w:t>
            </w:r>
            <w:r>
              <w:rPr>
                <w:sz w:val="20"/>
              </w:rPr>
              <w:t>RS485</w:t>
            </w:r>
            <w:r>
              <w:rPr>
                <w:sz w:val="20"/>
              </w:rPr>
              <w:t>、模拟量输入。</w:t>
            </w:r>
            <w:r>
              <w:br/>
            </w:r>
            <w:r>
              <w:rPr>
                <w:sz w:val="20"/>
              </w:rPr>
              <w:t>（</w:t>
            </w:r>
            <w:r>
              <w:rPr>
                <w:sz w:val="20"/>
              </w:rPr>
              <w:t>2</w:t>
            </w:r>
            <w:r>
              <w:rPr>
                <w:sz w:val="20"/>
              </w:rPr>
              <w:t>）同时支持</w:t>
            </w:r>
            <w:r>
              <w:rPr>
                <w:sz w:val="20"/>
              </w:rPr>
              <w:t>4G/RJ45/WIFI</w:t>
            </w:r>
            <w:r>
              <w:rPr>
                <w:sz w:val="20"/>
              </w:rPr>
              <w:t>通信方式，支持有线和无线互为备份，确保设备实时在线。</w:t>
            </w:r>
            <w:r>
              <w:br/>
            </w:r>
            <w:r>
              <w:rPr>
                <w:sz w:val="20"/>
              </w:rPr>
              <w:t>（</w:t>
            </w:r>
            <w:r>
              <w:rPr>
                <w:sz w:val="20"/>
              </w:rPr>
              <w:t>3</w:t>
            </w:r>
            <w:r>
              <w:rPr>
                <w:sz w:val="20"/>
              </w:rPr>
              <w:t>）搭载</w:t>
            </w:r>
            <w:r>
              <w:rPr>
                <w:sz w:val="20"/>
              </w:rPr>
              <w:t>4</w:t>
            </w:r>
            <w:r>
              <w:rPr>
                <w:sz w:val="20"/>
              </w:rPr>
              <w:t>英寸人机交互大屏幕，支持显示各种数据、图表，可进行多点触控，方便项目运维人员现场增</w:t>
            </w:r>
            <w:r>
              <w:rPr>
                <w:sz w:val="20"/>
              </w:rPr>
              <w:t>/</w:t>
            </w:r>
            <w:r>
              <w:rPr>
                <w:sz w:val="20"/>
              </w:rPr>
              <w:t>删</w:t>
            </w:r>
            <w:r>
              <w:rPr>
                <w:sz w:val="20"/>
              </w:rPr>
              <w:t>/</w:t>
            </w:r>
            <w:r>
              <w:rPr>
                <w:sz w:val="20"/>
              </w:rPr>
              <w:t>改配置灯具、控制系统回路、查看数据、设置参数等。</w:t>
            </w:r>
            <w:r>
              <w:br/>
            </w:r>
            <w:r>
              <w:rPr>
                <w:sz w:val="20"/>
              </w:rPr>
              <w:t>（</w:t>
            </w:r>
            <w:r>
              <w:rPr>
                <w:sz w:val="20"/>
              </w:rPr>
              <w:t>4</w:t>
            </w:r>
            <w:r>
              <w:rPr>
                <w:sz w:val="20"/>
              </w:rPr>
              <w:t>）支持宽电压（</w:t>
            </w:r>
            <w:r>
              <w:rPr>
                <w:sz w:val="20"/>
              </w:rPr>
              <w:t>DC9~35V</w:t>
            </w:r>
            <w:r>
              <w:rPr>
                <w:sz w:val="20"/>
              </w:rPr>
              <w:t>）输入电源，一主一备，无缝切换，内置电源反相保护和过压保护。</w:t>
            </w:r>
            <w:r>
              <w:br/>
            </w:r>
            <w:r>
              <w:rPr>
                <w:sz w:val="20"/>
              </w:rPr>
              <w:t>（</w:t>
            </w:r>
            <w:r>
              <w:rPr>
                <w:sz w:val="20"/>
              </w:rPr>
              <w:t>5</w:t>
            </w:r>
            <w:r>
              <w:rPr>
                <w:sz w:val="20"/>
              </w:rPr>
              <w:t>）支持智能回路控制：集中器内置继电器远程控制回路通断，内置定时策略、经纬度策略、节假日策略，可选光照度联动控制策略。</w:t>
            </w:r>
            <w:r>
              <w:br/>
            </w:r>
            <w:r>
              <w:rPr>
                <w:sz w:val="20"/>
              </w:rPr>
              <w:t>（</w:t>
            </w:r>
            <w:r>
              <w:rPr>
                <w:sz w:val="20"/>
              </w:rPr>
              <w:t>6</w:t>
            </w:r>
            <w:r>
              <w:rPr>
                <w:sz w:val="20"/>
              </w:rPr>
              <w:t>）支持实时回路状态检测：内置开关量输入（</w:t>
            </w:r>
            <w:r>
              <w:rPr>
                <w:sz w:val="20"/>
              </w:rPr>
              <w:t>DI</w:t>
            </w:r>
            <w:r>
              <w:rPr>
                <w:sz w:val="20"/>
              </w:rPr>
              <w:t>）接口，实现在线监测回路状态及异常告警。</w:t>
            </w:r>
            <w:r>
              <w:br/>
            </w:r>
            <w:r>
              <w:rPr>
                <w:sz w:val="20"/>
              </w:rPr>
              <w:t>（</w:t>
            </w:r>
            <w:r>
              <w:rPr>
                <w:sz w:val="20"/>
              </w:rPr>
              <w:t>7</w:t>
            </w:r>
            <w:r>
              <w:rPr>
                <w:sz w:val="20"/>
              </w:rPr>
              <w:t>）支持实时回路电参数监测：内置</w:t>
            </w:r>
            <w:r>
              <w:rPr>
                <w:sz w:val="20"/>
              </w:rPr>
              <w:t>RS485</w:t>
            </w:r>
            <w:r>
              <w:rPr>
                <w:sz w:val="20"/>
              </w:rPr>
              <w:t>接口，实现在线监测回路电表的实时电流、电压、功率、累计电量、漏电等数据，及多等级智能告警策略。</w:t>
            </w:r>
            <w:r>
              <w:br/>
            </w:r>
            <w:r>
              <w:rPr>
                <w:sz w:val="20"/>
              </w:rPr>
              <w:t>（</w:t>
            </w:r>
            <w:r>
              <w:rPr>
                <w:sz w:val="20"/>
              </w:rPr>
              <w:t>8</w:t>
            </w:r>
            <w:r>
              <w:rPr>
                <w:sz w:val="20"/>
              </w:rPr>
              <w:t>）支持非法开箱监测及告警，水浸监测及告警等。</w:t>
            </w:r>
            <w:r>
              <w:br/>
            </w:r>
            <w:r>
              <w:rPr>
                <w:sz w:val="20"/>
              </w:rPr>
              <w:t>（</w:t>
            </w:r>
            <w:r>
              <w:rPr>
                <w:sz w:val="20"/>
              </w:rPr>
              <w:t>9</w:t>
            </w:r>
            <w:r>
              <w:rPr>
                <w:sz w:val="20"/>
              </w:rPr>
              <w:t>）支持智能照明应用，内置</w:t>
            </w:r>
            <w:r>
              <w:rPr>
                <w:sz w:val="20"/>
              </w:rPr>
              <w:t>RS485</w:t>
            </w:r>
            <w:r>
              <w:rPr>
                <w:sz w:val="20"/>
              </w:rPr>
              <w:t>灯控、宽带电力载波灯控协议，支持循环定时、经纬度、节假日、广播控制、组播控制等节能控制策略，支持离线运行策略。</w:t>
            </w:r>
            <w:r>
              <w:br/>
            </w:r>
            <w:r>
              <w:rPr>
                <w:sz w:val="20"/>
              </w:rPr>
              <w:t>（</w:t>
            </w:r>
            <w:r>
              <w:rPr>
                <w:sz w:val="20"/>
              </w:rPr>
              <w:t>10</w:t>
            </w:r>
            <w:r>
              <w:rPr>
                <w:sz w:val="20"/>
              </w:rPr>
              <w:t>）支持接入</w:t>
            </w:r>
            <w:r>
              <w:rPr>
                <w:sz w:val="20"/>
              </w:rPr>
              <w:t>RJ45</w:t>
            </w:r>
            <w:r>
              <w:rPr>
                <w:sz w:val="20"/>
              </w:rPr>
              <w:t>摄像头，支持将传感器数据实时叠加到视频流，实现数据与视频的实时整合，支持实时抓拍上报。</w:t>
            </w:r>
          </w:p>
          <w:p>
            <w:pPr>
              <w:pStyle w:val="null3"/>
              <w:jc w:val="left"/>
            </w:pPr>
            <w:r>
              <w:rPr>
                <w:sz w:val="20"/>
              </w:rPr>
              <w:t>（</w:t>
            </w:r>
            <w:r>
              <w:rPr>
                <w:sz w:val="20"/>
              </w:rPr>
              <w:t>11</w:t>
            </w:r>
            <w:r>
              <w:rPr>
                <w:sz w:val="20"/>
              </w:rPr>
              <w:t>）支持强大的本地存储和外扩存储功能，配备</w:t>
            </w:r>
            <w:r>
              <w:rPr>
                <w:sz w:val="20"/>
              </w:rPr>
              <w:t>USB</w:t>
            </w:r>
            <w:r>
              <w:rPr>
                <w:sz w:val="20"/>
              </w:rPr>
              <w:t>、</w:t>
            </w:r>
            <w:r>
              <w:rPr>
                <w:sz w:val="20"/>
              </w:rPr>
              <w:t>TF</w:t>
            </w:r>
            <w:r>
              <w:rPr>
                <w:sz w:val="20"/>
              </w:rPr>
              <w:t>卡接口，可保存</w:t>
            </w:r>
            <w:r>
              <w:rPr>
                <w:sz w:val="20"/>
              </w:rPr>
              <w:t>10</w:t>
            </w:r>
            <w:r>
              <w:rPr>
                <w:sz w:val="20"/>
              </w:rPr>
              <w:t>年以上数据；支持离线补传功能，平台或网络故障时，数据缓存在本地数据库，平台或网络恢复时断点续传。</w:t>
            </w:r>
            <w:r>
              <w:br/>
            </w:r>
            <w:r>
              <w:rPr>
                <w:sz w:val="20"/>
              </w:rPr>
              <w:t>（</w:t>
            </w:r>
            <w:r>
              <w:rPr>
                <w:sz w:val="20"/>
              </w:rPr>
              <w:t>12</w:t>
            </w:r>
            <w:r>
              <w:rPr>
                <w:sz w:val="20"/>
              </w:rPr>
              <w:t>）支持</w:t>
            </w:r>
            <w:r>
              <w:rPr>
                <w:sz w:val="20"/>
              </w:rPr>
              <w:t>MQTT</w:t>
            </w:r>
            <w:r>
              <w:rPr>
                <w:sz w:val="20"/>
              </w:rPr>
              <w:t>、</w:t>
            </w:r>
            <w:r>
              <w:rPr>
                <w:sz w:val="20"/>
              </w:rPr>
              <w:t>HTTP</w:t>
            </w:r>
            <w:r>
              <w:rPr>
                <w:sz w:val="20"/>
              </w:rPr>
              <w:t>、</w:t>
            </w:r>
            <w:r>
              <w:rPr>
                <w:sz w:val="20"/>
              </w:rPr>
              <w:t>MODBUSTCP</w:t>
            </w:r>
            <w:r>
              <w:rPr>
                <w:sz w:val="20"/>
              </w:rPr>
              <w:t>、</w:t>
            </w:r>
            <w:r>
              <w:rPr>
                <w:sz w:val="20"/>
              </w:rPr>
              <w:t>OPCUA</w:t>
            </w:r>
            <w:r>
              <w:rPr>
                <w:sz w:val="20"/>
              </w:rPr>
              <w:t>等北向通信协议，支持开放</w:t>
            </w:r>
            <w:r>
              <w:rPr>
                <w:sz w:val="20"/>
              </w:rPr>
              <w:t>API</w:t>
            </w:r>
            <w:r>
              <w:rPr>
                <w:sz w:val="20"/>
              </w:rPr>
              <w:t>，支持同时与</w:t>
            </w:r>
            <w:r>
              <w:rPr>
                <w:sz w:val="20"/>
              </w:rPr>
              <w:t>5</w:t>
            </w:r>
            <w:r>
              <w:rPr>
                <w:sz w:val="20"/>
              </w:rPr>
              <w:t>个平台通信，协议可配置化，可快速实现与各机构管理平台平滑对接。</w:t>
            </w:r>
            <w:r>
              <w:br/>
            </w:r>
            <w:r>
              <w:rPr>
                <w:sz w:val="20"/>
              </w:rPr>
              <w:t>（</w:t>
            </w:r>
            <w:r>
              <w:rPr>
                <w:sz w:val="20"/>
              </w:rPr>
              <w:t>13</w:t>
            </w:r>
            <w:r>
              <w:rPr>
                <w:sz w:val="20"/>
              </w:rPr>
              <w:t>）支持</w:t>
            </w:r>
            <w:r>
              <w:rPr>
                <w:sz w:val="20"/>
              </w:rPr>
              <w:t>SPI</w:t>
            </w:r>
            <w:r>
              <w:rPr>
                <w:sz w:val="20"/>
              </w:rPr>
              <w:t>防火墙、</w:t>
            </w:r>
            <w:r>
              <w:rPr>
                <w:sz w:val="20"/>
              </w:rPr>
              <w:t>DoS</w:t>
            </w:r>
            <w:r>
              <w:rPr>
                <w:sz w:val="20"/>
              </w:rPr>
              <w:t>攻击、访问控制、端口映射、</w:t>
            </w:r>
            <w:r>
              <w:rPr>
                <w:sz w:val="20"/>
              </w:rPr>
              <w:t>DMZ</w:t>
            </w:r>
            <w:r>
              <w:rPr>
                <w:sz w:val="20"/>
              </w:rPr>
              <w:t>映射、访问控制功能（</w:t>
            </w:r>
            <w:r>
              <w:rPr>
                <w:sz w:val="20"/>
              </w:rPr>
              <w:t>ACL</w:t>
            </w:r>
            <w:r>
              <w:rPr>
                <w:sz w:val="20"/>
              </w:rPr>
              <w:t>）等功能，支持多种</w:t>
            </w:r>
            <w:r>
              <w:rPr>
                <w:sz w:val="20"/>
              </w:rPr>
              <w:t>VPN</w:t>
            </w:r>
            <w:r>
              <w:rPr>
                <w:sz w:val="20"/>
              </w:rPr>
              <w:t>协议（</w:t>
            </w:r>
            <w:r>
              <w:rPr>
                <w:sz w:val="20"/>
              </w:rPr>
              <w:t>OpenVPN</w:t>
            </w:r>
            <w:r>
              <w:rPr>
                <w:sz w:val="20"/>
              </w:rPr>
              <w:t>、</w:t>
            </w:r>
            <w:r>
              <w:rPr>
                <w:sz w:val="20"/>
              </w:rPr>
              <w:t>IPSEC</w:t>
            </w:r>
            <w:r>
              <w:rPr>
                <w:sz w:val="20"/>
              </w:rPr>
              <w:t>、</w:t>
            </w:r>
            <w:r>
              <w:rPr>
                <w:sz w:val="20"/>
              </w:rPr>
              <w:t>PPTP</w:t>
            </w:r>
            <w:r>
              <w:rPr>
                <w:sz w:val="20"/>
              </w:rPr>
              <w:t>、</w:t>
            </w:r>
            <w:r>
              <w:rPr>
                <w:sz w:val="20"/>
              </w:rPr>
              <w:t>L2TP</w:t>
            </w:r>
            <w:r>
              <w:rPr>
                <w:sz w:val="20"/>
              </w:rPr>
              <w:t>等），同时支持</w:t>
            </w:r>
            <w:r>
              <w:rPr>
                <w:sz w:val="20"/>
              </w:rPr>
              <w:t>SM2</w:t>
            </w:r>
            <w:r>
              <w:rPr>
                <w:sz w:val="20"/>
              </w:rPr>
              <w:t>、</w:t>
            </w:r>
            <w:r>
              <w:rPr>
                <w:sz w:val="20"/>
              </w:rPr>
              <w:t>SM4</w:t>
            </w:r>
            <w:r>
              <w:rPr>
                <w:sz w:val="20"/>
              </w:rPr>
              <w:t>等国密加密算法，保障数据传输的安全性。</w:t>
            </w:r>
            <w:r>
              <w:br/>
            </w:r>
            <w:r>
              <w:rPr>
                <w:sz w:val="20"/>
              </w:rPr>
              <w:t>（</w:t>
            </w:r>
            <w:r>
              <w:rPr>
                <w:sz w:val="20"/>
              </w:rPr>
              <w:t>14</w:t>
            </w:r>
            <w:r>
              <w:rPr>
                <w:sz w:val="20"/>
              </w:rPr>
              <w:t>）支持</w:t>
            </w:r>
            <w:r>
              <w:rPr>
                <w:sz w:val="20"/>
              </w:rPr>
              <w:t>webUI</w:t>
            </w:r>
            <w:r>
              <w:rPr>
                <w:sz w:val="20"/>
              </w:rPr>
              <w:t>远程登录设备，进行配置、调试、升级、查询数据等操作。</w:t>
            </w:r>
            <w:r>
              <w:br/>
            </w:r>
            <w:r>
              <w:rPr>
                <w:sz w:val="20"/>
              </w:rPr>
              <w:t>（</w:t>
            </w:r>
            <w:r>
              <w:rPr>
                <w:sz w:val="20"/>
              </w:rPr>
              <w:t>15</w:t>
            </w:r>
            <w:r>
              <w:rPr>
                <w:sz w:val="20"/>
              </w:rPr>
              <w:t>）支持配套功能强大的中心管理软件，对大量分布在各地的集中器进行统一的监测、配置、升级、诊断等。（</w:t>
            </w:r>
            <w:r>
              <w:rPr>
                <w:sz w:val="20"/>
              </w:rPr>
              <w:t>16</w:t>
            </w:r>
            <w:r>
              <w:rPr>
                <w:sz w:val="20"/>
              </w:rPr>
              <w:t>）采用工业级</w:t>
            </w:r>
            <w:r>
              <w:rPr>
                <w:sz w:val="20"/>
              </w:rPr>
              <w:t>ARM</w:t>
            </w:r>
            <w:r>
              <w:rPr>
                <w:sz w:val="20"/>
              </w:rPr>
              <w:t>架构高端处理器，搭配</w:t>
            </w:r>
            <w:r>
              <w:rPr>
                <w:sz w:val="20"/>
              </w:rPr>
              <w:t>Linux</w:t>
            </w:r>
            <w:r>
              <w:rPr>
                <w:sz w:val="20"/>
              </w:rPr>
              <w:t>嵌入式操作系统，数据采集、边缘计算、智能告警等功能，是实现照明数字化、智能化和节能化功能</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注：</w:t>
            </w:r>
            <w:r>
              <w:rPr>
                <w:sz w:val="20"/>
              </w:rPr>
              <w:t>1</w:t>
            </w:r>
            <w:r>
              <w:rPr>
                <w:sz w:val="20"/>
              </w:rPr>
              <w:t>、以上参数要提供国家级实验室的检测报告；</w:t>
            </w:r>
            <w:r>
              <w:rPr>
                <w:sz w:val="20"/>
              </w:rPr>
              <w:t>2</w:t>
            </w:r>
            <w:r>
              <w:rPr>
                <w:sz w:val="20"/>
              </w:rPr>
              <w:t>、加一个</w:t>
            </w:r>
            <w:r>
              <w:rPr>
                <w:sz w:val="20"/>
              </w:rPr>
              <w:t>5000</w:t>
            </w:r>
            <w:r>
              <w:rPr>
                <w:sz w:val="20"/>
              </w:rPr>
              <w:t>小时光衰实验报告。</w:t>
            </w:r>
          </w:p>
        </w:tc>
      </w:tr>
    </w:tbl>
    <w:p>
      <w:pPr>
        <w:pStyle w:val="null3"/>
        <w:ind w:firstLine="472"/>
        <w:jc w:val="both"/>
      </w:pPr>
      <w:r>
        <w:rPr>
          <w:sz w:val="21"/>
          <w:b/>
        </w:rPr>
        <w:t>控制系统升级标准</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574"/>
        <w:gridCol w:w="1420"/>
        <w:gridCol w:w="2175"/>
        <w:gridCol w:w="4138"/>
      </w:tblGrid>
      <w:tr>
        <w:tc>
          <w:tcPr>
            <w:tcW w:type="dxa" w:w="5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50"/>
            </w:pPr>
            <w:r>
              <w:rPr>
                <w:sz w:val="21"/>
                <w:b/>
              </w:rPr>
              <w:t>序号</w:t>
            </w:r>
          </w:p>
        </w:tc>
        <w:tc>
          <w:tcPr>
            <w:tcW w:type="dxa" w:w="14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0"/>
            </w:pPr>
            <w:r>
              <w:rPr>
                <w:sz w:val="21"/>
                <w:b/>
              </w:rPr>
              <w:t>改造内容</w:t>
            </w:r>
          </w:p>
        </w:tc>
        <w:tc>
          <w:tcPr>
            <w:tcW w:type="dxa" w:w="21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900"/>
            </w:pPr>
            <w:r>
              <w:rPr>
                <w:sz w:val="21"/>
                <w:b/>
              </w:rPr>
              <w:t>实现功能</w:t>
            </w:r>
          </w:p>
        </w:tc>
        <w:tc>
          <w:tcPr>
            <w:tcW w:type="dxa" w:w="41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085"/>
            </w:pPr>
            <w:r>
              <w:rPr>
                <w:sz w:val="21"/>
                <w:b/>
              </w:rPr>
              <w:t>具体要求</w:t>
            </w:r>
          </w:p>
        </w:tc>
      </w:tr>
      <w:tr>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照明智慧平台搭建</w:t>
            </w:r>
          </w:p>
        </w:tc>
        <w:tc>
          <w:tcPr>
            <w:tcW w:type="dxa" w:w="21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实现智能运维及监控服务</w:t>
            </w:r>
          </w:p>
        </w:tc>
        <w:tc>
          <w:tcPr>
            <w:tcW w:type="dxa" w:w="4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45"/>
              <w:jc w:val="both"/>
            </w:pPr>
            <w:r>
              <w:rPr>
                <w:sz w:val="21"/>
              </w:rPr>
              <w:t>对现有的路灯控制系统升级，实现一网统管，智能控制包括但不限于实现以下功能：</w:t>
            </w:r>
            <w:r>
              <w:rPr>
                <w:sz w:val="21"/>
              </w:rPr>
              <w:t>1.</w:t>
            </w:r>
            <w:r>
              <w:rPr>
                <w:sz w:val="21"/>
              </w:rPr>
              <w:t>区域开灯、分组开灯、间隔开灯等多种亮灯方式；</w:t>
            </w:r>
            <w:r>
              <w:rPr>
                <w:sz w:val="21"/>
              </w:rPr>
              <w:t>2.</w:t>
            </w:r>
            <w:r>
              <w:rPr>
                <w:sz w:val="21"/>
              </w:rPr>
              <w:t>智能运维、巡检、考核等；</w:t>
            </w:r>
            <w:r>
              <w:rPr>
                <w:sz w:val="21"/>
              </w:rPr>
              <w:t>3.</w:t>
            </w:r>
            <w:r>
              <w:rPr>
                <w:sz w:val="21"/>
              </w:rPr>
              <w:t>城市照明资产普查及全寿命周期管理；</w:t>
            </w:r>
            <w:r>
              <w:rPr>
                <w:sz w:val="21"/>
              </w:rPr>
              <w:t>4.</w:t>
            </w:r>
            <w:r>
              <w:rPr>
                <w:sz w:val="21"/>
              </w:rPr>
              <w:t>开放源代码，能够兼容其他系统，可进行二次升级；</w:t>
            </w:r>
            <w:r>
              <w:rPr>
                <w:sz w:val="21"/>
              </w:rPr>
              <w:t>5.</w:t>
            </w:r>
            <w:r>
              <w:rPr>
                <w:sz w:val="21"/>
              </w:rPr>
              <w:t>控制中心机房搭建，服务器数据库本地化，服务器一主一备，监控主机一主一备，配备企业级防火墙，长效</w:t>
            </w:r>
            <w:r>
              <w:rPr>
                <w:sz w:val="21"/>
              </w:rPr>
              <w:t>UPS</w:t>
            </w:r>
            <w:r>
              <w:rPr>
                <w:sz w:val="21"/>
              </w:rPr>
              <w:t>。</w:t>
            </w:r>
          </w:p>
        </w:tc>
      </w:tr>
      <w:tr>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15"/>
            </w:pPr>
            <w:r>
              <w:rPr>
                <w:sz w:val="21"/>
              </w:rPr>
              <w:t>2</w:t>
            </w:r>
          </w:p>
        </w:tc>
        <w:tc>
          <w:tcPr>
            <w:tcW w:type="dxa" w:w="1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10" w:right="120"/>
            </w:pPr>
            <w:r>
              <w:rPr>
                <w:sz w:val="21"/>
              </w:rPr>
              <w:t>路灯监控管理终端（</w:t>
            </w:r>
            <w:r>
              <w:rPr>
                <w:sz w:val="21"/>
              </w:rPr>
              <w:t>120</w:t>
            </w:r>
            <w:r>
              <w:rPr>
                <w:sz w:val="21"/>
              </w:rPr>
              <w:t>个）</w:t>
            </w:r>
          </w:p>
        </w:tc>
        <w:tc>
          <w:tcPr>
            <w:tcW w:type="dxa" w:w="21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80" w:right="150"/>
            </w:pPr>
            <w:r>
              <w:rPr>
                <w:sz w:val="21"/>
              </w:rPr>
              <w:t>根据系统需求配置满足功能要求的控制终端</w:t>
            </w:r>
          </w:p>
        </w:tc>
        <w:tc>
          <w:tcPr>
            <w:tcW w:type="dxa" w:w="4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sz w:val="21"/>
              </w:rPr>
              <w:t>按照照明控制系统的功能要求，对现有的控制终端进行更换或改造，使之与系统要求相匹配。</w:t>
            </w:r>
          </w:p>
        </w:tc>
      </w:tr>
      <w:tr>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15"/>
            </w:pPr>
            <w:r>
              <w:rPr>
                <w:sz w:val="21"/>
              </w:rPr>
              <w:t>3</w:t>
            </w:r>
          </w:p>
        </w:tc>
        <w:tc>
          <w:tcPr>
            <w:tcW w:type="dxa" w:w="1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35" w:right="135"/>
            </w:pPr>
            <w:r>
              <w:rPr>
                <w:sz w:val="21"/>
              </w:rPr>
              <w:t>单灯控制器（不少于</w:t>
            </w:r>
            <w:r>
              <w:rPr>
                <w:sz w:val="21"/>
              </w:rPr>
              <w:t>11000</w:t>
            </w:r>
            <w:r>
              <w:rPr>
                <w:sz w:val="21"/>
              </w:rPr>
              <w:t>个）</w:t>
            </w:r>
          </w:p>
        </w:tc>
        <w:tc>
          <w:tcPr>
            <w:tcW w:type="dxa" w:w="21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585"/>
            </w:pPr>
            <w:r>
              <w:rPr>
                <w:sz w:val="21"/>
              </w:rPr>
              <w:t>实现精细化管理</w:t>
            </w:r>
          </w:p>
        </w:tc>
        <w:tc>
          <w:tcPr>
            <w:tcW w:type="dxa" w:w="4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sz w:val="21"/>
              </w:rPr>
              <w:t>对每盏灯的参数设置、调光控制等精准控制，实现精细化管理。</w:t>
            </w:r>
          </w:p>
        </w:tc>
      </w:tr>
      <w:tr>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750" w:right="120"/>
            </w:pPr>
            <w:r>
              <w:rPr>
                <w:sz w:val="21"/>
              </w:rPr>
              <w:t>照明设施信息采集</w:t>
            </w:r>
          </w:p>
        </w:tc>
        <w:tc>
          <w:tcPr>
            <w:tcW w:type="dxa" w:w="21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65" w:right="150"/>
            </w:pPr>
            <w:r>
              <w:rPr>
                <w:sz w:val="21"/>
              </w:rPr>
              <w:t>城市照明资产普查，实现照明资产全寿命周期管理</w:t>
            </w:r>
          </w:p>
        </w:tc>
        <w:tc>
          <w:tcPr>
            <w:tcW w:type="dxa" w:w="4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jc w:val="both"/>
            </w:pPr>
            <w:r>
              <w:rPr>
                <w:sz w:val="21"/>
              </w:rPr>
              <w:t>对灯具、灯杆、变压器、控制柜等设施进行全面的资产信息采集，包括：现场测量定位、设施标识、相关属性采集、电路关联逻辑采集及验证、数据入库、</w:t>
            </w:r>
            <w:r>
              <w:rPr>
                <w:sz w:val="21"/>
              </w:rPr>
              <w:t>GIS</w:t>
            </w:r>
            <w:r>
              <w:rPr>
                <w:sz w:val="21"/>
              </w:rPr>
              <w:t>一张图展示等。</w:t>
            </w:r>
          </w:p>
        </w:tc>
      </w:tr>
      <w:tr>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15"/>
            </w:pPr>
            <w:r>
              <w:rPr>
                <w:sz w:val="21"/>
              </w:rPr>
              <w:t>5</w:t>
            </w:r>
          </w:p>
        </w:tc>
        <w:tc>
          <w:tcPr>
            <w:tcW w:type="dxa" w:w="1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40" w:right="135"/>
            </w:pPr>
            <w:r>
              <w:rPr>
                <w:sz w:val="21"/>
              </w:rPr>
              <w:t>外供电检测（不少于</w:t>
            </w:r>
            <w:r>
              <w:rPr>
                <w:sz w:val="21"/>
              </w:rPr>
              <w:t>500</w:t>
            </w:r>
            <w:r>
              <w:rPr>
                <w:sz w:val="21"/>
              </w:rPr>
              <w:t>个）</w:t>
            </w:r>
          </w:p>
        </w:tc>
        <w:tc>
          <w:tcPr>
            <w:tcW w:type="dxa" w:w="21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70" w:right="150"/>
            </w:pPr>
            <w:r>
              <w:rPr>
                <w:sz w:val="21"/>
              </w:rPr>
              <w:t>通过对用电量的监控掌握外接用电负荷的情况</w:t>
            </w:r>
          </w:p>
        </w:tc>
        <w:tc>
          <w:tcPr>
            <w:tcW w:type="dxa" w:w="4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05"/>
            </w:pPr>
            <w:r>
              <w:rPr>
                <w:sz w:val="21"/>
              </w:rPr>
              <w:t>在控制终端装设外供电检测设备，实时检测用电量变化，具备自动预警功能。</w:t>
            </w:r>
          </w:p>
        </w:tc>
      </w:tr>
      <w:tr>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240"/>
            </w:pPr>
            <w:r>
              <w:rPr>
                <w:sz w:val="21"/>
              </w:rPr>
              <w:t>漏电监测终端</w:t>
            </w:r>
          </w:p>
          <w:p>
            <w:pPr>
              <w:pStyle w:val="null3"/>
              <w:spacing w:before="15"/>
              <w:ind w:left="660" w:right="255"/>
            </w:pPr>
            <w:r>
              <w:rPr>
                <w:sz w:val="21"/>
              </w:rPr>
              <w:t>（不少于</w:t>
            </w:r>
            <w:r>
              <w:rPr>
                <w:sz w:val="21"/>
              </w:rPr>
              <w:t>800</w:t>
            </w:r>
            <w:r>
              <w:rPr>
                <w:sz w:val="21"/>
              </w:rPr>
              <w:t>个）</w:t>
            </w:r>
          </w:p>
        </w:tc>
        <w:tc>
          <w:tcPr>
            <w:tcW w:type="dxa" w:w="21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215" w:right="150"/>
            </w:pPr>
            <w:r>
              <w:rPr>
                <w:sz w:val="21"/>
              </w:rPr>
              <w:t>实现漏电情况自动断电保护</w:t>
            </w:r>
          </w:p>
        </w:tc>
        <w:tc>
          <w:tcPr>
            <w:tcW w:type="dxa" w:w="41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pPr>
            <w:r>
              <w:rPr>
                <w:sz w:val="21"/>
              </w:rPr>
              <w:t>在控制终端装设漏电监测设备，漏电达到设定值时启动自动断电保护，降低漏电伤人风险。</w:t>
            </w:r>
          </w:p>
        </w:tc>
      </w:tr>
    </w:tbl>
    <w:p>
      <w:pPr>
        <w:pStyle w:val="null3"/>
      </w:pPr>
      <w:r>
        <w:rPr>
          <w:sz w:val="21"/>
          <w:b/>
        </w:rPr>
        <w:t>附表三：人员配备表</w:t>
      </w:r>
    </w:p>
    <w:p>
      <w:pPr>
        <w:pStyle w:val="null3"/>
        <w:spacing w:before="135"/>
        <w:ind w:left="3855"/>
        <w:jc w:val="both"/>
      </w:pPr>
      <w:r>
        <w:rPr>
          <w:sz w:val="21"/>
          <w:b/>
        </w:rPr>
        <w:t>人员配备表</w:t>
      </w:r>
    </w:p>
    <w:tbl>
      <w:tblPr>
        <w:tblW w:w="0" w:type="auto"/>
        <w:tblInd w:type="dxa" w:w="450"/>
        <w:tblBorders>
          <w:top w:val="none" w:color="000000" w:sz="4"/>
          <w:left w:val="none" w:color="000000" w:sz="4"/>
          <w:bottom w:val="none" w:color="000000" w:sz="4"/>
          <w:right w:val="none" w:color="000000" w:sz="4"/>
          <w:insideH w:val="none"/>
          <w:insideV w:val="none"/>
        </w:tblBorders>
      </w:tblPr>
      <w:tblGrid>
        <w:gridCol w:w="676"/>
        <w:gridCol w:w="1262"/>
        <w:gridCol w:w="668"/>
        <w:gridCol w:w="668"/>
        <w:gridCol w:w="668"/>
        <w:gridCol w:w="668"/>
        <w:gridCol w:w="1307"/>
        <w:gridCol w:w="1427"/>
        <w:gridCol w:w="961"/>
      </w:tblGrid>
      <w:tr>
        <w:tc>
          <w:tcPr>
            <w:tcW w:type="dxa" w:w="8305"/>
            <w:gridSpan w:val="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170"/>
            </w:pPr>
            <w:r>
              <w:rPr>
                <w:sz w:val="21"/>
                <w:b/>
              </w:rPr>
              <w:t>管理人员</w:t>
            </w: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序号</w:t>
            </w:r>
          </w:p>
        </w:tc>
        <w:tc>
          <w:tcPr>
            <w:tcW w:type="dxa" w:w="126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专业岗位</w:t>
            </w:r>
          </w:p>
        </w:tc>
        <w:tc>
          <w:tcPr>
            <w:tcW w:type="dxa" w:w="133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人数</w:t>
            </w:r>
          </w:p>
        </w:tc>
        <w:tc>
          <w:tcPr>
            <w:tcW w:type="dxa" w:w="133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职称</w:t>
            </w:r>
          </w:p>
        </w:tc>
        <w:tc>
          <w:tcPr>
            <w:tcW w:type="dxa" w:w="13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专业</w:t>
            </w:r>
          </w:p>
        </w:tc>
        <w:tc>
          <w:tcPr>
            <w:tcW w:type="dxa" w:w="14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30"/>
            </w:pPr>
            <w:r>
              <w:rPr>
                <w:sz w:val="21"/>
              </w:rPr>
              <w:t>岗位要求</w:t>
            </w:r>
          </w:p>
        </w:tc>
        <w:tc>
          <w:tcPr>
            <w:tcW w:type="dxa" w:w="9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备注</w:t>
            </w: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45"/>
            </w:pPr>
            <w:r>
              <w:rPr>
                <w:sz w:val="21"/>
              </w:rPr>
              <w:t>1</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20"/>
            </w:pPr>
            <w:r>
              <w:rPr>
                <w:sz w:val="21"/>
              </w:rPr>
              <w:t>项目负责人</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中级职称或以上</w:t>
            </w:r>
          </w:p>
        </w:tc>
        <w:tc>
          <w:tcPr>
            <w:tcW w:type="dxa" w:w="13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专职：</w:t>
            </w:r>
            <w:r>
              <w:rPr>
                <w:sz w:val="21"/>
              </w:rPr>
              <w:t>☑</w:t>
            </w:r>
          </w:p>
          <w:p>
            <w:pPr>
              <w:pStyle w:val="null3"/>
              <w:spacing w:before="105"/>
              <w:ind w:left="28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技术负责人</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中级职称或以上</w:t>
            </w:r>
          </w:p>
        </w:tc>
        <w:tc>
          <w:tcPr>
            <w:tcW w:type="dxa" w:w="13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电气、机电或自动化（含工业）专业</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85"/>
            </w:pPr>
            <w:r>
              <w:rPr>
                <w:sz w:val="21"/>
              </w:rPr>
              <w:t>专职：</w:t>
            </w:r>
            <w:r>
              <w:rPr>
                <w:sz w:val="21"/>
              </w:rPr>
              <w:t>☑</w:t>
            </w:r>
          </w:p>
          <w:p>
            <w:pPr>
              <w:pStyle w:val="null3"/>
              <w:spacing w:before="105"/>
              <w:ind w:left="28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3</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资料员</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具备相应证书</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85"/>
            </w:pPr>
            <w:r>
              <w:rPr>
                <w:sz w:val="21"/>
              </w:rPr>
              <w:t>专职：</w:t>
            </w:r>
            <w:r>
              <w:rPr>
                <w:sz w:val="21"/>
              </w:rPr>
              <w:t>☑</w:t>
            </w:r>
          </w:p>
          <w:p>
            <w:pPr>
              <w:pStyle w:val="null3"/>
              <w:spacing w:before="105"/>
              <w:ind w:left="28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4</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安全员</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具备相应证书</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85"/>
            </w:pPr>
            <w:r>
              <w:rPr>
                <w:sz w:val="21"/>
              </w:rPr>
              <w:t>专职：</w:t>
            </w:r>
            <w:r>
              <w:rPr>
                <w:sz w:val="21"/>
              </w:rPr>
              <w:t>☑</w:t>
            </w:r>
          </w:p>
          <w:p>
            <w:pPr>
              <w:pStyle w:val="null3"/>
              <w:spacing w:before="60"/>
              <w:ind w:left="16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305"/>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b/>
              </w:rPr>
              <w:t>特种人员</w:t>
            </w: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50"/>
            </w:pPr>
            <w:r>
              <w:rPr>
                <w:sz w:val="21"/>
              </w:rPr>
              <w:t>序号</w:t>
            </w:r>
          </w:p>
        </w:tc>
        <w:tc>
          <w:tcPr>
            <w:tcW w:type="dxa" w:w="1930"/>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510"/>
            </w:pPr>
            <w:r>
              <w:rPr>
                <w:sz w:val="21"/>
              </w:rPr>
              <w:t>专业岗位</w:t>
            </w:r>
          </w:p>
        </w:tc>
        <w:tc>
          <w:tcPr>
            <w:tcW w:type="dxa" w:w="1336"/>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80"/>
            </w:pPr>
            <w:r>
              <w:rPr>
                <w:sz w:val="21"/>
              </w:rPr>
              <w:t>人员数量最低要求</w:t>
            </w:r>
          </w:p>
        </w:tc>
        <w:tc>
          <w:tcPr>
            <w:tcW w:type="dxa" w:w="1975"/>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sz w:val="21"/>
              </w:rPr>
              <w:t>岗位资格要求</w:t>
            </w:r>
          </w:p>
        </w:tc>
        <w:tc>
          <w:tcPr>
            <w:tcW w:type="dxa" w:w="14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30"/>
            </w:pPr>
            <w:r>
              <w:rPr>
                <w:sz w:val="21"/>
              </w:rPr>
              <w:t>岗位要求</w:t>
            </w:r>
          </w:p>
        </w:tc>
        <w:tc>
          <w:tcPr>
            <w:tcW w:type="dxa" w:w="9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10"/>
            </w:pPr>
            <w:r>
              <w:rPr>
                <w:sz w:val="21"/>
              </w:rPr>
              <w:t>备注</w:t>
            </w: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9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低压电工</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97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555"/>
            </w:pPr>
            <w:r>
              <w:rPr>
                <w:sz w:val="21"/>
              </w:rPr>
              <w:t>是：</w:t>
            </w:r>
            <w:r>
              <w:rPr>
                <w:sz w:val="21"/>
              </w:rPr>
              <w:t>☑</w:t>
            </w:r>
          </w:p>
          <w:p>
            <w:pPr>
              <w:pStyle w:val="null3"/>
              <w:spacing w:before="60"/>
              <w:ind w:left="555"/>
            </w:pPr>
            <w:r>
              <w:rPr>
                <w:sz w:val="21"/>
              </w:rPr>
              <w:t>否：</w:t>
            </w:r>
            <w:r>
              <w:rPr>
                <w:sz w:val="21"/>
              </w:rPr>
              <w:t>□</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85"/>
            </w:pPr>
            <w:r>
              <w:rPr>
                <w:sz w:val="21"/>
              </w:rPr>
              <w:t>专职：</w:t>
            </w:r>
            <w:r>
              <w:rPr>
                <w:sz w:val="21"/>
              </w:rPr>
              <w:t>☑</w:t>
            </w:r>
          </w:p>
          <w:p>
            <w:pPr>
              <w:pStyle w:val="null3"/>
              <w:spacing w:before="60"/>
              <w:ind w:left="16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9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高压电工</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97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555"/>
            </w:pPr>
            <w:r>
              <w:rPr>
                <w:sz w:val="21"/>
              </w:rPr>
              <w:t>是：</w:t>
            </w:r>
            <w:r>
              <w:rPr>
                <w:sz w:val="21"/>
              </w:rPr>
              <w:t>☑</w:t>
            </w:r>
          </w:p>
          <w:p>
            <w:pPr>
              <w:pStyle w:val="null3"/>
              <w:spacing w:before="60"/>
              <w:ind w:left="555"/>
            </w:pPr>
            <w:r>
              <w:rPr>
                <w:sz w:val="21"/>
              </w:rPr>
              <w:t>否：</w:t>
            </w:r>
            <w:r>
              <w:rPr>
                <w:sz w:val="21"/>
              </w:rPr>
              <w:t>□</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85"/>
            </w:pPr>
            <w:r>
              <w:rPr>
                <w:sz w:val="21"/>
              </w:rPr>
              <w:t>专职：</w:t>
            </w:r>
            <w:r>
              <w:rPr>
                <w:sz w:val="21"/>
              </w:rPr>
              <w:t>☑</w:t>
            </w:r>
          </w:p>
          <w:p>
            <w:pPr>
              <w:pStyle w:val="null3"/>
              <w:spacing w:before="60"/>
              <w:ind w:left="16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9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50" w:right="150" w:firstLine="1"/>
              <w:jc w:val="both"/>
            </w:pPr>
            <w:r>
              <w:rPr>
                <w:sz w:val="21"/>
              </w:rPr>
              <w:t>专项作业车辆驾驶员及起重机司机操作证（</w:t>
            </w:r>
            <w:r>
              <w:rPr>
                <w:sz w:val="21"/>
              </w:rPr>
              <w:t>Q2</w:t>
            </w:r>
            <w:r>
              <w:rPr>
                <w:sz w:val="21"/>
              </w:rPr>
              <w:t>）</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97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30"/>
              <w:ind w:left="555"/>
            </w:pPr>
            <w:r>
              <w:rPr>
                <w:sz w:val="21"/>
              </w:rPr>
              <w:t>是：</w:t>
            </w:r>
            <w:r>
              <w:rPr>
                <w:sz w:val="21"/>
              </w:rPr>
              <w:t>☑</w:t>
            </w:r>
          </w:p>
          <w:p>
            <w:pPr>
              <w:pStyle w:val="null3"/>
              <w:spacing w:before="60"/>
              <w:ind w:left="555"/>
            </w:pPr>
            <w:r>
              <w:rPr>
                <w:sz w:val="21"/>
              </w:rPr>
              <w:t>否：</w:t>
            </w:r>
            <w:r>
              <w:rPr>
                <w:sz w:val="21"/>
              </w:rPr>
              <w:t>□</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30"/>
              <w:ind w:left="285"/>
            </w:pPr>
            <w:r>
              <w:rPr>
                <w:sz w:val="21"/>
              </w:rPr>
              <w:t>专职：</w:t>
            </w:r>
            <w:r>
              <w:rPr>
                <w:sz w:val="21"/>
              </w:rPr>
              <w:t>☑</w:t>
            </w:r>
          </w:p>
          <w:p>
            <w:pPr>
              <w:pStyle w:val="null3"/>
              <w:spacing w:before="60"/>
              <w:ind w:left="16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9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现场作业人员</w:t>
            </w:r>
          </w:p>
        </w:tc>
        <w:tc>
          <w:tcPr>
            <w:tcW w:type="dxa" w:w="133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975"/>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555"/>
            </w:pPr>
            <w:r>
              <w:rPr>
                <w:sz w:val="21"/>
              </w:rPr>
              <w:t>是：</w:t>
            </w:r>
            <w:r>
              <w:rPr>
                <w:sz w:val="21"/>
              </w:rPr>
              <w:t>☑</w:t>
            </w:r>
          </w:p>
          <w:p>
            <w:pPr>
              <w:pStyle w:val="null3"/>
              <w:spacing w:before="60"/>
              <w:ind w:left="555"/>
            </w:pPr>
            <w:r>
              <w:rPr>
                <w:sz w:val="21"/>
              </w:rPr>
              <w:t>否：</w:t>
            </w:r>
            <w:r>
              <w:rPr>
                <w:sz w:val="21"/>
              </w:rPr>
              <w:t>□</w:t>
            </w:r>
          </w:p>
        </w:tc>
        <w:tc>
          <w:tcPr>
            <w:tcW w:type="dxa" w:w="14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285"/>
            </w:pPr>
            <w:r>
              <w:rPr>
                <w:sz w:val="21"/>
              </w:rPr>
              <w:t>专职：口</w:t>
            </w:r>
          </w:p>
          <w:p>
            <w:pPr>
              <w:pStyle w:val="null3"/>
              <w:spacing w:before="60"/>
              <w:ind w:left="165"/>
            </w:pPr>
            <w:r>
              <w:rPr>
                <w:sz w:val="21"/>
              </w:rPr>
              <w:t>可兼任：</w:t>
            </w:r>
            <w:r>
              <w:rPr>
                <w:sz w:val="21"/>
              </w:rPr>
              <w:t>☑</w:t>
            </w:r>
          </w:p>
        </w:tc>
        <w:tc>
          <w:tcPr>
            <w:tcW w:type="dxa" w:w="9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含巡查人员、维修人员</w:t>
            </w:r>
          </w:p>
        </w:tc>
      </w:tr>
      <w:tr>
        <w:tc>
          <w:tcPr>
            <w:tcW w:type="dxa" w:w="394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80"/>
            </w:pPr>
            <w:r>
              <w:rPr>
                <w:sz w:val="21"/>
              </w:rPr>
              <w:t>项目需求人数合计：</w:t>
            </w:r>
          </w:p>
        </w:tc>
        <w:tc>
          <w:tcPr>
            <w:tcW w:type="dxa" w:w="4363"/>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w:t>
            </w:r>
            <w:r>
              <w:rPr>
                <w:sz w:val="21"/>
              </w:rPr>
              <w:t>人</w:t>
            </w:r>
          </w:p>
        </w:tc>
      </w:tr>
    </w:tbl>
    <w:p>
      <w:pPr>
        <w:pStyle w:val="null3"/>
        <w:spacing w:before="30"/>
        <w:ind w:left="150" w:right="1320" w:firstLine="3"/>
        <w:jc w:val="both"/>
      </w:pPr>
      <w:r>
        <w:rPr>
          <w:sz w:val="21"/>
        </w:rPr>
        <w:t>注：</w:t>
      </w:r>
      <w:r>
        <w:rPr>
          <w:sz w:val="21"/>
        </w:rPr>
        <w:t>1.</w:t>
      </w:r>
      <w:r>
        <w:rPr>
          <w:sz w:val="21"/>
        </w:rPr>
        <w:t>表中“岗位资格要求”栏是、否提供岗位证书（资格证书）的在“□”内打“√”。</w:t>
      </w:r>
    </w:p>
    <w:p>
      <w:pPr>
        <w:pStyle w:val="null3"/>
        <w:spacing w:before="30"/>
        <w:ind w:left="150" w:right="1320" w:firstLine="3"/>
        <w:jc w:val="both"/>
      </w:pPr>
      <w:r>
        <w:rPr>
          <w:sz w:val="21"/>
        </w:rPr>
        <w:t>2.</w:t>
      </w:r>
      <w:r>
        <w:rPr>
          <w:sz w:val="21"/>
        </w:rPr>
        <w:t>表中“岗位要求”栏专职、可兼任在“□”内打“√”。</w:t>
      </w:r>
    </w:p>
    <w:p>
      <w:pPr>
        <w:pStyle w:val="null3"/>
        <w:spacing w:before="15"/>
        <w:ind w:left="150"/>
        <w:jc w:val="both"/>
      </w:pPr>
      <w:r>
        <w:rPr>
          <w:sz w:val="21"/>
        </w:rPr>
        <w:t>3.</w:t>
      </w:r>
      <w:r>
        <w:rPr>
          <w:sz w:val="21"/>
        </w:rPr>
        <w:t>此表为投标人配置“特种人员”最低要求。</w:t>
      </w:r>
    </w:p>
    <w:p>
      <w:pPr>
        <w:pStyle w:val="null3"/>
        <w:ind w:firstLine="200"/>
        <w:jc w:val="left"/>
      </w:pPr>
      <w:r>
        <w:rPr>
          <w:sz w:val="20"/>
        </w:rPr>
        <w:t>4.</w:t>
      </w:r>
      <w:r>
        <w:rPr>
          <w:sz w:val="20"/>
        </w:rPr>
        <w:t>投标人按</w:t>
      </w:r>
      <w:r>
        <w:rPr>
          <w:sz w:val="20"/>
        </w:rPr>
        <w:t>上</w:t>
      </w:r>
      <w:r>
        <w:rPr>
          <w:sz w:val="20"/>
        </w:rPr>
        <w:t>表</w:t>
      </w:r>
      <w:r>
        <w:rPr>
          <w:sz w:val="20"/>
        </w:rPr>
        <w:t>进行人员配置，保证投入的人员能满足</w:t>
      </w:r>
      <w:r>
        <w:rPr>
          <w:sz w:val="20"/>
        </w:rPr>
        <w:t>本</w:t>
      </w:r>
      <w:r>
        <w:rPr>
          <w:sz w:val="20"/>
        </w:rPr>
        <w:t>项目的需要。</w:t>
      </w:r>
    </w:p>
    <w:p>
      <w:pPr>
        <w:pStyle w:val="null3"/>
        <w:spacing w:before="30"/>
        <w:ind w:left="150" w:right="3030"/>
        <w:jc w:val="both"/>
      </w:pPr>
      <w:r>
        <w:rPr>
          <w:sz w:val="21"/>
        </w:rPr>
        <w:t>5.</w:t>
      </w:r>
      <w:r>
        <w:rPr>
          <w:sz w:val="21"/>
        </w:rPr>
        <w:t>本表可自行添加行数</w:t>
      </w:r>
      <w:r>
        <w:rPr>
          <w:sz w:val="21"/>
        </w:rPr>
        <w:t>。</w:t>
      </w:r>
    </w:p>
    <w:p>
      <w:pPr>
        <w:pStyle w:val="null3"/>
        <w:spacing w:before="30"/>
        <w:ind w:left="150" w:right="3030"/>
        <w:jc w:val="both"/>
      </w:pPr>
      <w:r>
        <w:rPr>
          <w:sz w:val="21"/>
          <w:b/>
        </w:rPr>
        <w:t>附表四：设备配备表</w:t>
      </w:r>
    </w:p>
    <w:p>
      <w:pPr>
        <w:pStyle w:val="null3"/>
        <w:spacing w:before="135"/>
        <w:ind w:left="3855"/>
        <w:jc w:val="both"/>
      </w:pPr>
      <w:r>
        <w:rPr>
          <w:sz w:val="21"/>
          <w:b/>
        </w:rPr>
        <w:t>设备配备表</w:t>
      </w:r>
    </w:p>
    <w:tbl>
      <w:tblPr>
        <w:tblW w:w="0" w:type="auto"/>
        <w:tblBorders>
          <w:top w:val="none" w:color="000000" w:sz="4"/>
          <w:left w:val="none" w:color="000000" w:sz="4"/>
          <w:bottom w:val="none" w:color="000000" w:sz="4"/>
          <w:right w:val="none" w:color="000000" w:sz="4"/>
          <w:insideH w:val="none"/>
          <w:insideV w:val="none"/>
        </w:tblBorders>
      </w:tblPr>
      <w:tblGrid>
        <w:gridCol w:w="834"/>
        <w:gridCol w:w="2274"/>
        <w:gridCol w:w="864"/>
        <w:gridCol w:w="3471"/>
        <w:gridCol w:w="864"/>
      </w:tblGrid>
      <w:tr>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3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规格要求</w:t>
            </w:r>
          </w:p>
        </w:tc>
        <w:tc>
          <w:tcPr>
            <w:tcW w:type="dxa" w:w="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1</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高空作业车</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c>
          <w:tcPr>
            <w:tcW w:type="dxa" w:w="3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最少一台为</w:t>
            </w:r>
            <w:r>
              <w:rPr>
                <w:sz w:val="21"/>
              </w:rPr>
              <w:t>18</w:t>
            </w:r>
            <w:r>
              <w:rPr>
                <w:sz w:val="21"/>
              </w:rPr>
              <w:t>米高或以上</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维护巡查车</w:t>
            </w: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台</w:t>
            </w:r>
          </w:p>
        </w:tc>
        <w:tc>
          <w:tcPr>
            <w:tcW w:type="dxa" w:w="3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t>注：</w:t>
      </w:r>
      <w:r>
        <w:rPr>
          <w:sz w:val="20"/>
        </w:rPr>
        <w:t>投标人按</w:t>
      </w:r>
      <w:r>
        <w:rPr>
          <w:sz w:val="20"/>
        </w:rPr>
        <w:t>上</w:t>
      </w:r>
      <w:r>
        <w:rPr>
          <w:sz w:val="20"/>
        </w:rPr>
        <w:t>表</w:t>
      </w:r>
      <w:r>
        <w:rPr>
          <w:sz w:val="20"/>
        </w:rPr>
        <w:t>进行</w:t>
      </w:r>
      <w:r>
        <w:rPr>
          <w:sz w:val="20"/>
        </w:rPr>
        <w:t>设备</w:t>
      </w:r>
      <w:r>
        <w:rPr>
          <w:sz w:val="20"/>
        </w:rPr>
        <w:t>配置，保证投入的</w:t>
      </w:r>
      <w:r>
        <w:rPr>
          <w:sz w:val="20"/>
        </w:rPr>
        <w:t>设备</w:t>
      </w:r>
      <w:r>
        <w:rPr>
          <w:sz w:val="20"/>
        </w:rPr>
        <w:t>能满足</w:t>
      </w:r>
      <w:r>
        <w:rPr>
          <w:sz w:val="20"/>
        </w:rPr>
        <w:t>本</w:t>
      </w:r>
      <w:r>
        <w:rPr>
          <w:sz w:val="20"/>
        </w:rPr>
        <w:t>项目的需要。</w:t>
      </w:r>
    </w:p>
    <w:p>
      <w:pPr>
        <w:pStyle w:val="null3"/>
      </w:pPr>
      <w:r>
        <w:rPr/>
        <w:t>采购包1（中山市古镇镇市政路灯改造项目(二次)）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10年（具体起止时间以合同签订为准），其余要求详见“第二部分采购需求”。</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托管服务费用按每月支付：中标人先行缴纳电费及开展管养维护工作，采购人对中标人的运行维护工作按每月进行考核，每月向中标人支付的能源托管服务费用与当月运营期绩效考核结果相关联。 85分（含85分）以上，全额拨付当月费用，低于85分的，每低一分，扣减当月承包费用的1%，扣减限额最高不得超过当月承包费的20%。月度考核得分低于 65分时，扣减当月采购单位支付托管服务费的20%，且中标单位应按照采购单位发出的书面整改意见对其项目运行管理过程中出现的问题在规定的期限内进行整改。若中标单位整改不到位或者不积极整改的，采购单位将介入项目运营，政府方介入期间产生的各项费用由中标单位承担。 若同一年度内，三次及以上月度考核得分低于65分，且被要求整改的或政府方二次及以上介入项目运营的，除扣减当月采购单位支付托管服务费外，采购单位有权解除托管协议。（若为联合体中标，能源托管服务费用由釆购人支付给联合体牵头单位）。</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1期：（一）首次安装使用验收 1、按路段内容采取分路段技术验收方式和在技术验收基础上的一次性工程整体验收方式。 2、所有道路升级完成后由采购单位选定第三方检测机构对灯具各项指标、道路照明各项指标进行测试并记录(第三方检测机构检测费用由中标单位支付)；如改造达不到招标文件、投标文件和最新国家相关标准要求，中标单位应及时进行整改；整改合格后，由第三方检测机构出具报告，双方签字确认，作为计算节能收益和确定照明质量基准的依据；中标单位提交项目竣工报告，采购单位收到项目竣工报告后30天内组织一次性工程整体验收。每年必须委托第三方检测机构对托管范围内的灯具进行抽检。 3、施工安装按照《城市道路照明工程施工及验收规程》（CJJ89-2012）对中标单位施工部分进行验收，各项指标符合招标文件、投标文件和最新国家相关标准。 4、整体验收完成后双方共同签署竣工验收报告，同时次月起开始计算投资回报期及质量保证期。 （二）节能改造验收标准 1、改造后LED灯具数量不少于11000头，灯具参数及性能配置要求应达到成交人的投标 文件承诺标准。改造后LED灯具功率与改造前高压钠、LED灯功率降幅比例不超过50%。 2、控制系统实现照明设施信息采集（托管范围内城市照明设施全覆盖，内容包含灯杆编号、灯具功率、灯具技术参数、主电缆规格型号、变压器额定容量及负载率、地下管线及过街管线走向图、过街电源搭接点等信息形成综合信息网）、实现改造单灯控制11000个、外供电检测120个、漏电监测终端120个、路灯监控管理终端120个等功能。 3、照明控制系统升级改造后应实现一网统管、智慧控制，包括但不限于以下功能：区域开灯、分组开灯、间隔开灯等多种亮灯方式；智能运维、巡检等；城市照明资产普查及全寿命周期管理；开放源代码，可进行二次升级；控制中心机房搭建，服务器数据库本地化，服务器一主一备，监控主机一主一备，配备企业级防火墙，长效UPS。 4、改造后道路照明主要技术指标（照度、均匀度等）应达到《城市道路照明设计标准》（CJJ45-2015）要求的上限且满足《古镇节能改造产品技术参数》的要求，道路照明管养现状未达到上述标准的，改造后道路照明主要技术指标应达到上述标准；道路照明管养现状高于上述标准的，改造后道路照明主要技术指标不得低于道路照明管养现状。 5、节能改造是成交人为实现节能目标的必要工作，托管服务费已包含节能改造的成本和效益，采购人不再另行支付节能改造费用。</w:t>
            </w:r>
          </w:p>
        </w:tc>
      </w:tr>
      <w:tr>
        <w:tc>
          <w:tcPr>
            <w:tcW w:type="dxa" w:w="4153"/>
          </w:tcPr>
          <w:p>
            <w:pPr>
              <w:pStyle w:val="null3"/>
            </w:pPr>
            <w:r>
              <w:rPr/>
              <w:t>履约保证金</w:t>
            </w:r>
          </w:p>
        </w:tc>
        <w:tc>
          <w:tcPr>
            <w:tcW w:type="dxa" w:w="4153"/>
          </w:tcPr>
          <w:p>
            <w:pPr>
              <w:pStyle w:val="null3"/>
            </w:pPr>
            <w:r>
              <w:rPr/>
              <w:t>收取比例：10%,说明：1、投标人确定中标并与采购人签订合同后15个工作日内，采用银行转账或不可撤销、无条件（见索即付）的银行履约保函形式（不计息）向采购人提交履约保证金（按合同金额的10%）。如发生违约，采购人可从履约保证金中扣除，于合同期满或合同终止后结算。2、在中标人履行完合同约定权利义务事项后，采购人将在30天内把履约保证金无息全额退还给中标人。3、履约保证金以银行转账形式递交的，须以中标人的名义向采购人指定的银行账户提交履约保证金。4、履约保证金以银行履约保函形式递交的，履约保函有效期至少到项目验收合格后；如保函期限届满前30天内，项目还未完成，中标人应立即向保函出具单位申请延续保函期限，延续期限不少于6个月。</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合同能源管理服务</w:t>
            </w:r>
          </w:p>
        </w:tc>
        <w:tc>
          <w:tcPr>
            <w:tcW w:type="dxa" w:w="933"/>
          </w:tcPr>
          <w:p>
            <w:pPr>
              <w:pStyle w:val="null3"/>
              <w:jc w:val="left"/>
            </w:pPr>
            <w:r>
              <w:rPr/>
              <w:t>中山市古镇镇市政路灯改造项目(二次)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42,318,000.00</w:t>
            </w:r>
          </w:p>
        </w:tc>
        <w:tc>
          <w:tcPr>
            <w:tcW w:type="dxa" w:w="933"/>
          </w:tcPr>
          <w:p>
            <w:pPr>
              <w:pStyle w:val="null3"/>
              <w:jc w:val="right"/>
            </w:pPr>
            <w:r>
              <w:rPr/>
              <w:t>42,318,000.00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中山市古镇镇市政路灯改造项目(二次)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72"/>
              <w:jc w:val="both"/>
            </w:pPr>
            <w:r>
              <w:rPr>
                <w:sz w:val="20"/>
                <w:b/>
              </w:rPr>
              <w:t>（</w:t>
            </w:r>
            <w:r>
              <w:rPr>
                <w:sz w:val="20"/>
                <w:b/>
              </w:rPr>
              <w:t>12</w:t>
            </w:r>
            <w:r>
              <w:rPr>
                <w:sz w:val="20"/>
                <w:b/>
              </w:rPr>
              <w:t>）为方便日常能源托管服务工作及突发情况即时有效应对，投标人中标后应对突发情况：承诺接到通知后</w:t>
            </w:r>
            <w:r>
              <w:rPr>
                <w:sz w:val="20"/>
                <w:b/>
              </w:rPr>
              <w:t>1</w:t>
            </w:r>
            <w:r>
              <w:rPr>
                <w:sz w:val="20"/>
                <w:b/>
              </w:rPr>
              <w:t>小时（含）内响应，</w:t>
            </w:r>
            <w:r>
              <w:rPr>
                <w:sz w:val="20"/>
                <w:b/>
              </w:rPr>
              <w:t>2</w:t>
            </w:r>
            <w:r>
              <w:rPr>
                <w:sz w:val="20"/>
                <w:b/>
              </w:rPr>
              <w:t>小时（含）内到现场并解决。</w:t>
            </w:r>
            <w:r>
              <w:rPr>
                <w:sz w:val="21"/>
                <w:b/>
              </w:rPr>
              <w:t>（投标文件中提供承诺函并加盖公章，承诺函格式自拟）</w:t>
            </w:r>
            <w:r>
              <w:rPr/>
              <w:t>（</w:t>
            </w:r>
            <w:r>
              <w:rPr/>
              <w:t>如联合体投标，</w:t>
            </w:r>
            <w:r>
              <w:rPr/>
              <w:t>联合体</w:t>
            </w:r>
            <w:r>
              <w:rPr/>
              <w:t>牵头单位提供</w:t>
            </w:r>
            <w:r>
              <w:rPr/>
              <w:t>）</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72"/>
              <w:jc w:val="both"/>
            </w:pPr>
            <w:r>
              <w:rPr>
                <w:sz w:val="21"/>
                <w:b/>
              </w:rPr>
              <w:t>(13)</w:t>
            </w:r>
            <w:r>
              <w:rPr>
                <w:sz w:val="21"/>
                <w:b/>
              </w:rPr>
              <w:t>投标人须承诺：在合同签订后</w:t>
            </w:r>
            <w:r>
              <w:rPr>
                <w:sz w:val="21"/>
                <w:b/>
              </w:rPr>
              <w:t>60</w:t>
            </w:r>
            <w:r>
              <w:rPr>
                <w:sz w:val="21"/>
                <w:b/>
              </w:rPr>
              <w:t>天内在符合国家法律法规基础上在中山市古镇镇辖区范围设立专门服务于本项目的服务机构。（投标文件中提供承诺函并加盖公章，承诺函格式自拟）</w:t>
            </w:r>
            <w:r>
              <w:rPr/>
              <w:t>（</w:t>
            </w:r>
            <w:r>
              <w:rPr/>
              <w:t>如联合体投标，</w:t>
            </w:r>
            <w:r>
              <w:rPr/>
              <w:t>联合体</w:t>
            </w:r>
            <w:r>
              <w:rPr/>
              <w:t>牵头单位提供</w:t>
            </w:r>
            <w:r>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(14)</w:t>
            </w:r>
            <w:r>
              <w:rPr>
                <w:sz w:val="21"/>
                <w:b/>
              </w:rPr>
              <w:t>投标人须承诺：政府及镇属企业物业包括但不限于政府一、二办区、古镇灯饰大厦、苏炳添体育馆、人民广场、湿地公园、文化公园、会展中心、旧工商局大楼、古镇人民医院等外立面灯光纳入日常维护。（投标文件中提供承诺函并加盖公章，承诺函格式自拟）</w:t>
            </w:r>
            <w:r>
              <w:rPr>
                <w:sz w:val="21"/>
              </w:rPr>
              <w:t>（</w:t>
            </w:r>
            <w:r>
              <w:rPr>
                <w:sz w:val="21"/>
              </w:rPr>
              <w:t>如联合体投标，</w:t>
            </w:r>
            <w:r>
              <w:rPr>
                <w:sz w:val="21"/>
              </w:rPr>
              <w:t>联合体</w:t>
            </w:r>
            <w:r>
              <w:rPr>
                <w:sz w:val="21"/>
              </w:rPr>
              <w:t>牵头单位提供</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left"/>
            </w:pPr>
            <w:r>
              <w:rPr>
                <w:sz w:val="20"/>
                <w:b/>
              </w:rPr>
              <w:t>十三、保险及责任承担</w:t>
            </w:r>
          </w:p>
          <w:p>
            <w:pPr>
              <w:pStyle w:val="null3"/>
              <w:ind w:firstLine="472"/>
              <w:jc w:val="both"/>
            </w:pPr>
            <w:r>
              <w:rPr>
                <w:sz w:val="20"/>
              </w:rPr>
              <w:t>1.</w:t>
            </w:r>
            <w:r>
              <w:rPr>
                <w:sz w:val="20"/>
              </w:rPr>
              <w:t>养护设备保险：中标人须在本次养护服务期间内负责其养护设备的保险。养护设备维护、保养、调试等均由中标人负责，确保每次维护设备使用性和安全性。</w:t>
            </w:r>
          </w:p>
          <w:p>
            <w:pPr>
              <w:pStyle w:val="null3"/>
              <w:ind w:firstLine="472"/>
              <w:jc w:val="both"/>
            </w:pPr>
            <w:r>
              <w:rPr>
                <w:sz w:val="20"/>
              </w:rPr>
              <w:t>2.</w:t>
            </w:r>
            <w:r>
              <w:rPr>
                <w:sz w:val="20"/>
              </w:rPr>
              <w:t>人身意外险：中标人负责其派出的现场服务人员人身意外保险，其费用包含在投标报价内，采购人不再另行支付。</w:t>
            </w:r>
          </w:p>
          <w:p>
            <w:pPr>
              <w:pStyle w:val="null3"/>
              <w:ind w:firstLine="472"/>
              <w:jc w:val="both"/>
            </w:pPr>
            <w:r>
              <w:rPr>
                <w:sz w:val="20"/>
              </w:rPr>
              <w:t>3.</w:t>
            </w:r>
            <w:r>
              <w:rPr>
                <w:sz w:val="20"/>
              </w:rPr>
              <w:t>公众责任险：中标人必须为该项目购买公众责任险，其费用包含在投标报价内，采购人不再另行支付。由于路灯漏电、坠落倒塌等事故造成公众意外伤害的，必须由中标人承担全部责任。</w:t>
            </w:r>
            <w:r>
              <w:rPr/>
              <w:t>（</w:t>
            </w:r>
            <w:r>
              <w:rPr/>
              <w:t>如联合体投标，</w:t>
            </w:r>
            <w:r>
              <w:rPr/>
              <w:t>联合体</w:t>
            </w:r>
            <w:r>
              <w:rPr/>
              <w:t>牵头单位提供</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1.采购代理机构：本项目是指博众工程咨询有限公司中山分公司，负责整个采购活动的组织，依法负责编制和发布招标文件，对招标文件拥有最终的解释权，不以任何身份出任评标委员会成员。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中山市古镇镇综合行政执法局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成交）供应商应在收取《中标通知书》时向采购代理机构交纳成交服务费，成交服务费的收费标准参照国家计委颁发的计价格【2002】1980号文中规定的“服务类”计费标准下浮30%收取，以成交中标价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 2、投标（响应）文件提交截止时间前无须提供纸质投标（响应）文件，中标（成交）供应商在中标（成交）通知书发出后五个工作日内向采购代理提供纸质投标（响应）文件（正本1份，副本3份，正副本封面均须加盖中标（成交）供应商公章并加盖骑缝章，在正副本的封面注明“正本”或“副本”。请保证电子投标（响应）文件应与纸质投标（响应）文件内容一致。）</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博众工程咨询有限公司中山分公司</w:t>
      </w:r>
      <w:r>
        <w:rPr/>
        <w:t>代收。具体操作要求详见</w:t>
      </w:r>
      <w:r>
        <w:rPr/>
        <w:t>博众工程咨询有限公司中山分公司</w:t>
      </w:r>
      <w:r>
        <w:rPr/>
        <w:t>有关指引，递交事宜请自行咨询</w:t>
      </w:r>
      <w:r>
        <w:rPr/>
        <w:t>博众工程咨询有限公司中山分公司</w:t>
      </w:r>
      <w:r>
        <w:rPr/>
        <w:t>；请各投标人在投标文件递交截止时间前按须知前附表规定的金额递交至</w:t>
      </w:r>
      <w:r>
        <w:rPr/>
        <w:t>博众工程咨询有限公司中山分公司</w:t>
      </w:r>
      <w:r>
        <w:rPr/>
        <w:t>，到账情况以开标时</w:t>
      </w:r>
      <w:r>
        <w:rPr/>
        <w:t>博众工程咨询有限公司中山分公司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夏小姐</w:t>
      </w:r>
    </w:p>
    <w:p>
      <w:pPr>
        <w:pStyle w:val="null3"/>
        <w:ind w:firstLine="480"/>
      </w:pPr>
      <w:r>
        <w:rPr/>
        <w:t>电话：</w:t>
      </w:r>
      <w:r>
        <w:rPr/>
        <w:t>18024227510</w:t>
      </w:r>
    </w:p>
    <w:p>
      <w:pPr>
        <w:pStyle w:val="null3"/>
        <w:ind w:firstLine="480"/>
      </w:pPr>
      <w:r>
        <w:rPr/>
        <w:t>传真：</w:t>
      </w:r>
      <w:r>
        <w:rPr/>
        <w:t>/</w:t>
      </w:r>
    </w:p>
    <w:p>
      <w:pPr>
        <w:pStyle w:val="null3"/>
        <w:ind w:firstLine="480"/>
      </w:pPr>
      <w:r>
        <w:rPr/>
        <w:t>邮箱：</w:t>
      </w:r>
      <w:r>
        <w:rPr/>
        <w:t>zs_gdbz@126.com</w:t>
      </w:r>
    </w:p>
    <w:p>
      <w:pPr>
        <w:pStyle w:val="null3"/>
        <w:ind w:firstLine="480"/>
      </w:pPr>
      <w:r>
        <w:rPr/>
        <w:t>地址：</w:t>
      </w:r>
      <w:r>
        <w:rPr/>
        <w:t>中山市石岐街道海景路6号A栋首层2卡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古镇镇市政路灯改造项目(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博众工程咨询有限公司中山分公司</w:t>
      </w:r>
      <w:r>
        <w:rPr/>
        <w:t>统一对外发布。</w:t>
      </w:r>
    </w:p>
    <w:p>
      <w:pPr>
        <w:pStyle w:val="null3"/>
        <w:ind w:firstLine="480"/>
      </w:pPr>
      <w:r>
        <w:rPr/>
        <w:t>（2）对</w:t>
      </w:r>
      <w:r>
        <w:rPr/>
        <w:t>博众工程咨询有限公司中山分公司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采购包1（中山市古镇镇市政路灯改造项目(二次)）：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采购包1（中山市古镇镇市政路灯改造项目(二次)）：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副本复印件。分支机构投标的，须提供总公司和分公司营业执照副本复印件，总公司出具给分支机构的授权书。（如联合体投标，联合体各方均需要提供）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近12个月内任意1个月依法缴纳税收和社会保障资金的缴费凭证等相关材料；如依法免税或不需要缴纳社会保障资金的，提供相应证明材料。若投标人同时提供承诺函和证明材料的，资格审查时以证明材料为准。（如联合体投标，联合体各方均需要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政府采购供应商资格信用承诺函》(格式详见公告附件)或提供2023年度财务报告或近12个月内任意1个月编制的财务报表或基本开户行出具的资信证明或政府采购专业担保机构出具的投标担保函。若投标人同时提供承诺函和证明材料的，资格审查时以证明材料为准。（如联合体投标，联合体各方均需要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政府采购供应商资格信用承诺函》(格式详见公告附件)或提供“具有履行合同所必需的设备和专业技术能力”的声明或承诺，或提供“具有设备和专业技术能力（人员）”的相关证明资料，或提供《设备和专业技术能力（人员）情况表》（格式自拟）。（如联合体投标，联合体各方均需要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提供《政府采购供应商资格信用承诺函》(格式详见公告附件)或参照投标函相关承诺格式内容。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均需要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如联合体投标，联合体各方均需要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投标函相关承诺要求内容。（如联合体投标，联合体各方均需要提供）</w:t>
            </w:r>
          </w:p>
        </w:tc>
      </w:tr>
      <w:tr>
        <w:tc>
          <w:tcPr>
            <w:tcW w:type="dxa" w:w="890"/>
          </w:tcPr>
          <w:p>
            <w:pPr>
              <w:pStyle w:val="null3"/>
            </w:pPr>
            <w:r>
              <w:rPr/>
              <w:t>8</w:t>
            </w:r>
          </w:p>
        </w:tc>
        <w:tc>
          <w:tcPr>
            <w:tcW w:type="dxa" w:w="3178"/>
          </w:tcPr>
          <w:p>
            <w:pPr>
              <w:pStyle w:val="null3"/>
            </w:pPr>
            <w:r>
              <w:rPr/>
              <w:t>本项目的特定资质证书要求</w:t>
            </w:r>
          </w:p>
        </w:tc>
        <w:tc>
          <w:tcPr>
            <w:tcW w:type="dxa" w:w="4238"/>
          </w:tcPr>
          <w:p>
            <w:pPr>
              <w:pStyle w:val="null3"/>
            </w:pPr>
            <w:r>
              <w:rPr/>
              <w:t>投标人须具备建设行政主管部门核发的城市及道路照明工程专业承包叁级及以上资质（含叁级资质）并持有有效的安全生产许可证。（如联合体投标，联合体任意一方提供均可）</w:t>
            </w:r>
          </w:p>
        </w:tc>
      </w:tr>
      <w:tr>
        <w:tc>
          <w:tcPr>
            <w:tcW w:type="dxa" w:w="890"/>
          </w:tcPr>
          <w:p>
            <w:pPr>
              <w:pStyle w:val="null3"/>
            </w:pPr>
            <w:r>
              <w:rPr/>
              <w:t>9</w:t>
            </w:r>
          </w:p>
        </w:tc>
        <w:tc>
          <w:tcPr>
            <w:tcW w:type="dxa" w:w="3178"/>
          </w:tcPr>
          <w:p>
            <w:pPr>
              <w:pStyle w:val="null3"/>
            </w:pPr>
            <w:r>
              <w:rPr/>
              <w:t>本项目的特定资格要求</w:t>
            </w:r>
          </w:p>
        </w:tc>
        <w:tc>
          <w:tcPr>
            <w:tcW w:type="dxa" w:w="4238"/>
          </w:tcPr>
          <w:p>
            <w:pPr>
              <w:pStyle w:val="null3"/>
            </w:pPr>
            <w:r>
              <w:rPr/>
              <w:t>本采购包接受联合体投标，投标人以联合体的形式进行投标的，联合体所有成员（含联合体牵头单位）数量不得超过2个，同时须提交联合体共同投标协议书，明确联合体牵头单位及各方承担的工作和义务，且联合体各方不得再以自己名义单独或参加其他联合体在本项目中投标。 （联合体投标的投标人须提交双方共同签署的《联合体共同投标协议书》原件扫描件）。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采购包1（中山市古镇镇市政路灯改造项目(二次)）：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投标函及投标有效期符合要求</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投标文件按照项目招标文件规定要求签署、盖章</w:t>
            </w:r>
          </w:p>
        </w:tc>
      </w:tr>
      <w:tr>
        <w:tc>
          <w:tcPr>
            <w:tcW w:type="dxa" w:w="890"/>
          </w:tcPr>
          <w:p>
            <w:pPr>
              <w:pStyle w:val="null3"/>
            </w:pPr>
            <w:r>
              <w:rPr/>
              <w:t>3</w:t>
            </w:r>
          </w:p>
        </w:tc>
        <w:tc>
          <w:tcPr>
            <w:tcW w:type="dxa" w:w="3178"/>
          </w:tcPr>
          <w:p>
            <w:pPr>
              <w:pStyle w:val="null3"/>
            </w:pPr>
            <w:r>
              <w:rPr/>
              <w:t>授权文件</w:t>
            </w:r>
          </w:p>
        </w:tc>
        <w:tc>
          <w:tcPr>
            <w:tcW w:type="dxa" w:w="4238"/>
          </w:tcPr>
          <w:p>
            <w:pPr>
              <w:pStyle w:val="null3"/>
            </w:pPr>
            <w:r>
              <w:rPr/>
              <w:t>已提交有效的法定代表人证明书和法定代表人授权书（投标人代表为法定代表人时则不需要法定代表人授权书）</w:t>
            </w:r>
          </w:p>
        </w:tc>
      </w:tr>
      <w:tr>
        <w:tc>
          <w:tcPr>
            <w:tcW w:type="dxa" w:w="890"/>
          </w:tcPr>
          <w:p>
            <w:pPr>
              <w:pStyle w:val="null3"/>
            </w:pPr>
            <w:r>
              <w:rPr/>
              <w:t>4</w:t>
            </w:r>
          </w:p>
        </w:tc>
        <w:tc>
          <w:tcPr>
            <w:tcW w:type="dxa" w:w="3178"/>
          </w:tcPr>
          <w:p>
            <w:pPr>
              <w:pStyle w:val="null3"/>
            </w:pPr>
            <w:r>
              <w:rPr/>
              <w:t>投标价格</w:t>
            </w:r>
          </w:p>
        </w:tc>
        <w:tc>
          <w:tcPr>
            <w:tcW w:type="dxa" w:w="4238"/>
          </w:tcPr>
          <w:p>
            <w:pPr>
              <w:pStyle w:val="null3"/>
            </w:pPr>
            <w:r>
              <w:rPr/>
              <w:t>投标报价是唯一固定价且符合招标文件的规定。</w:t>
            </w:r>
          </w:p>
        </w:tc>
      </w:tr>
      <w:tr>
        <w:tc>
          <w:tcPr>
            <w:tcW w:type="dxa" w:w="890"/>
          </w:tcPr>
          <w:p>
            <w:pPr>
              <w:pStyle w:val="null3"/>
            </w:pPr>
            <w:r>
              <w:rPr/>
              <w:t>5</w:t>
            </w:r>
          </w:p>
        </w:tc>
        <w:tc>
          <w:tcPr>
            <w:tcW w:type="dxa" w:w="3178"/>
          </w:tcPr>
          <w:p>
            <w:pPr>
              <w:pStyle w:val="null3"/>
            </w:pPr>
            <w:r>
              <w:rPr/>
              <w:t>★条款</w:t>
            </w:r>
          </w:p>
        </w:tc>
        <w:tc>
          <w:tcPr>
            <w:tcW w:type="dxa" w:w="4238"/>
          </w:tcPr>
          <w:p>
            <w:pPr>
              <w:pStyle w:val="null3"/>
            </w:pPr>
            <w:r>
              <w:rPr/>
              <w:t>★条款满足招标文件要求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未发现招标文件或法律法规明确规定的其他无效投标情形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采购包1(中山市古镇镇市政路灯改造项目(二次)):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节能改造方案 (10.0分)</w:t>
            </w:r>
            <w:r>
              <w:rPr/>
              <w:t>，（等次分值选择：</w:t>
            </w:r>
            <w:r>
              <w:rPr/>
              <w:t>0.0;</w:t>
            </w:r>
            <w:r>
              <w:rPr/>
              <w:t>3.0;</w:t>
            </w:r>
            <w:r>
              <w:rPr/>
              <w:t>6.0;</w:t>
            </w:r>
            <w:r>
              <w:rPr/>
              <w:t>10.0;</w:t>
            </w:r>
            <w:r>
              <w:rPr/>
              <w:t>）</w:t>
            </w:r>
          </w:p>
        </w:tc>
        <w:tc>
          <w:tcPr>
            <w:tcW w:type="dxa" w:w="5076"/>
          </w:tcPr>
          <w:p>
            <w:pPr>
              <w:pStyle w:val="null3"/>
              <w:jc w:val="left"/>
            </w:pPr>
            <w:r>
              <w:rPr/>
              <w:t>根据投标人提供本项目的节能改造方案（项目现状分析、管理架构、节能改造替换方案、项目进度计划及保障措施等）进行评价： （1）项目理解全面、现状问题分析透彻，管理架构完善、分工明确，节能改造替换方案可操作性强，项目进度计划及保障措施科学切实可行的，得10分； （2）项目理解清楚、现状问题分析到位，管理架构比较完善、分工尚可，节能改造替换方案基本满足项目采购需求，项目进度计划及保障措施较合理的，得6分； （3）项目理解不清楚、现状问题分析不到位，管理架构及分工不明确，节能改造替换方案不完全满足项目需求，项目进度计划及保障措施一般的，得3分； （4）未提供节能改造方案，得0分。</w:t>
            </w:r>
          </w:p>
        </w:tc>
      </w:tr>
      <w:tr>
        <w:tc>
          <w:tcPr>
            <w:tcW w:type="dxa" w:w="922"/>
            <w:gridSpan w:val="2"/>
            <w:vMerge/>
          </w:tcPr>
          <w:p/>
        </w:tc>
        <w:tc>
          <w:tcPr>
            <w:tcW w:type="dxa" w:w="2307"/>
          </w:tcPr>
          <w:p>
            <w:pPr>
              <w:pStyle w:val="null3"/>
              <w:jc w:val="left"/>
            </w:pPr>
            <w:r>
              <w:rPr/>
              <w:t>维护管理方案 (15.0分)</w:t>
            </w:r>
            <w:r>
              <w:rPr/>
              <w:t>，（等次分值选择：</w:t>
            </w:r>
            <w:r>
              <w:rPr/>
              <w:t>0.0;</w:t>
            </w:r>
            <w:r>
              <w:rPr/>
              <w:t>5.0;</w:t>
            </w:r>
            <w:r>
              <w:rPr/>
              <w:t>10.0;</w:t>
            </w:r>
            <w:r>
              <w:rPr/>
              <w:t>15.0;</w:t>
            </w:r>
            <w:r>
              <w:rPr/>
              <w:t>）</w:t>
            </w:r>
          </w:p>
        </w:tc>
        <w:tc>
          <w:tcPr>
            <w:tcW w:type="dxa" w:w="5076"/>
          </w:tcPr>
          <w:p>
            <w:pPr>
              <w:pStyle w:val="null3"/>
              <w:jc w:val="left"/>
            </w:pPr>
            <w:r>
              <w:rPr/>
              <w:t>根据投标人提供本项目的维护管理方案（日常巡查、检修抢修、定期检测、灯杆刷漆、设施防盗、安全文明作业管理、资料管理等）进行评价： （1）项目维护管理方案安排合理、措施科学、满足项目实际需要的，得15分； （2）项目维护管理实施方案安排比较合理、措施比较科学、比较满足项目实际需要的，得10分； （3）项目维护管理实施方案安排一般、措施一般、基本满足项目实际需要的，得5分； （4）未提供运维护管理方案，得0分。</w:t>
            </w:r>
          </w:p>
        </w:tc>
      </w:tr>
      <w:tr>
        <w:tc>
          <w:tcPr>
            <w:tcW w:type="dxa" w:w="922"/>
            <w:gridSpan w:val="2"/>
            <w:vMerge/>
          </w:tcPr>
          <w:p/>
        </w:tc>
        <w:tc>
          <w:tcPr>
            <w:tcW w:type="dxa" w:w="2307"/>
          </w:tcPr>
          <w:p>
            <w:pPr>
              <w:pStyle w:val="null3"/>
              <w:jc w:val="left"/>
            </w:pPr>
            <w:r>
              <w:rPr/>
              <w:t>搭建智慧路灯平台系统 (15.0分)</w:t>
            </w:r>
            <w:r>
              <w:rPr/>
              <w:t>，（等次分值选择：</w:t>
            </w:r>
            <w:r>
              <w:rPr/>
              <w:t>0.0;</w:t>
            </w:r>
            <w:r>
              <w:rPr/>
              <w:t>10.0;</w:t>
            </w:r>
            <w:r>
              <w:rPr/>
              <w:t>15.0;</w:t>
            </w:r>
            <w:r>
              <w:rPr/>
              <w:t>）</w:t>
            </w:r>
          </w:p>
        </w:tc>
        <w:tc>
          <w:tcPr>
            <w:tcW w:type="dxa" w:w="5076"/>
          </w:tcPr>
          <w:p>
            <w:pPr>
              <w:pStyle w:val="null3"/>
              <w:jc w:val="left"/>
            </w:pPr>
            <w:r>
              <w:rPr/>
              <w:t>根据投标人搭建的智慧路灯平台系统进行综合评定： （1）系统包含智慧照明、网关监控、设备管理、能耗统计等功能及智慧管理平台建设，能提高设施养护效率，符合项目实际需要的，得15.0分； （2）系统包含智慧照明、网关监控、设备管理、能耗统计等功能的，得10.0分； （3）未提供相关方案阐述或方案阐述内容不符合上述标准的不得分。</w:t>
            </w:r>
          </w:p>
        </w:tc>
      </w:tr>
      <w:tr>
        <w:tc>
          <w:tcPr>
            <w:tcW w:type="dxa" w:w="922"/>
            <w:gridSpan w:val="2"/>
            <w:vMerge/>
          </w:tcPr>
          <w:p/>
        </w:tc>
        <w:tc>
          <w:tcPr>
            <w:tcW w:type="dxa" w:w="2307"/>
          </w:tcPr>
          <w:p>
            <w:pPr>
              <w:pStyle w:val="null3"/>
              <w:jc w:val="left"/>
            </w:pPr>
            <w:r>
              <w:rPr/>
              <w:t>投诉受理及应急预案 (10.0分)</w:t>
            </w:r>
            <w:r>
              <w:rPr/>
              <w:t>，（等次分值选择：</w:t>
            </w:r>
            <w:r>
              <w:rPr/>
              <w:t>0.0;</w:t>
            </w:r>
            <w:r>
              <w:rPr/>
              <w:t>3.0;</w:t>
            </w:r>
            <w:r>
              <w:rPr/>
              <w:t>6.0;</w:t>
            </w:r>
            <w:r>
              <w:rPr/>
              <w:t>10.0;</w:t>
            </w:r>
            <w:r>
              <w:rPr/>
              <w:t>）</w:t>
            </w:r>
          </w:p>
        </w:tc>
        <w:tc>
          <w:tcPr>
            <w:tcW w:type="dxa" w:w="5076"/>
          </w:tcPr>
          <w:p>
            <w:pPr>
              <w:pStyle w:val="null3"/>
              <w:jc w:val="left"/>
            </w:pPr>
            <w:r>
              <w:rPr/>
              <w:t>根据投标人提供本项目的投诉受理及应急预案（市民、市长热线投诉、网络媒体曝光应急处置预案；对路灯大面积灭灯应急处置预案；设施漏电应急处置预案；恶劣天气应急处置预案；重要检查及大型活动等应急处置预案等）进行评价： （1）项目应急预案完善、细致、严谨，对突发事件、重大问题的应急处理敏捷、应急措施准确、有效，得10分； （2）项目应急预案完整合理、管理到位，对突发事件、重大问题的应急响应时间较为迅速，应急措施有针对性，得6分； （3）项目应急预案简略，服务管理片面，对突发事件、重大问题的应急响应时间久，应急措施可实施性差且逻辑混乱，得3分； （4）未提供投诉受理及应急预案，得0分。</w:t>
            </w:r>
          </w:p>
        </w:tc>
      </w:tr>
      <w:tr>
        <w:tc>
          <w:tcPr>
            <w:tcW w:type="dxa" w:w="922"/>
            <w:gridSpan w:val="2"/>
            <w:vMerge w:val="restart"/>
          </w:tcPr>
          <w:p>
            <w:pPr>
              <w:pStyle w:val="null3"/>
              <w:jc w:val="center"/>
            </w:pPr>
            <w:r>
              <w:rPr/>
              <w:t>商务部分</w:t>
            </w:r>
          </w:p>
        </w:tc>
        <w:tc>
          <w:tcPr>
            <w:tcW w:type="dxa" w:w="2307"/>
          </w:tcPr>
          <w:p>
            <w:pPr>
              <w:pStyle w:val="null3"/>
              <w:jc w:val="left"/>
            </w:pPr>
            <w:r>
              <w:rPr/>
              <w:t>被盗被损费用承诺 (8.0分)</w:t>
            </w:r>
          </w:p>
        </w:tc>
        <w:tc>
          <w:tcPr>
            <w:tcW w:type="dxa" w:w="5076"/>
          </w:tcPr>
          <w:p>
            <w:pPr>
              <w:pStyle w:val="null3"/>
              <w:jc w:val="left"/>
            </w:pPr>
            <w:r>
              <w:rPr/>
              <w:t>投标人承诺被盗被损费用： （1）每年托管服务费中包含60万元的被盗被损及不可抗力产生的修复费用（含供电抢修），得8分。 （2）每年托管服务费中包含30万元的被盗被损及不可抗力产生的修复费用（含供电抢修），得4分。 （3）无具体的违约承诺和保证措施该项不得分。 注：需提供承诺函和保证措施并加盖公章，承诺函格式自拟。（如联合体投标，联合体牵头单位提供）</w:t>
            </w:r>
          </w:p>
        </w:tc>
      </w:tr>
      <w:tr>
        <w:tc>
          <w:tcPr>
            <w:tcW w:type="dxa" w:w="922"/>
            <w:gridSpan w:val="2"/>
            <w:vMerge/>
          </w:tcPr>
          <w:p/>
        </w:tc>
        <w:tc>
          <w:tcPr>
            <w:tcW w:type="dxa" w:w="2307"/>
          </w:tcPr>
          <w:p>
            <w:pPr>
              <w:pStyle w:val="null3"/>
              <w:jc w:val="left"/>
            </w:pPr>
            <w:r>
              <w:rPr/>
              <w:t>企业实力 (12.0分)</w:t>
            </w:r>
          </w:p>
        </w:tc>
        <w:tc>
          <w:tcPr>
            <w:tcW w:type="dxa" w:w="5076"/>
          </w:tcPr>
          <w:p>
            <w:pPr>
              <w:pStyle w:val="null3"/>
              <w:jc w:val="left"/>
            </w:pPr>
            <w:r>
              <w:rPr/>
              <w:t>投标人具备有效期内的以下证书的： 1.质量管理体系认证证书； 2.环境管理体系认证证书； 3.职业健康安全管理体系认证证书。提供认证证书及网站备案登记截图）每提供一个证书得4分，满分12分。 注：提供相关证书复印件或扫描件和全国认证认可信息公共服务平台 （http://cx.cnca.cn/CertECloud/index/index/page）的证书查询截图并加盖单位电子公章。未按要求提供的，本项不得分。 （如联合体投标，联合体各方提供均可）</w:t>
            </w:r>
          </w:p>
        </w:tc>
      </w:tr>
      <w:tr>
        <w:tc>
          <w:tcPr>
            <w:tcW w:type="dxa" w:w="922"/>
            <w:gridSpan w:val="2"/>
            <w:vMerge/>
          </w:tcPr>
          <w:p/>
        </w:tc>
        <w:tc>
          <w:tcPr>
            <w:tcW w:type="dxa" w:w="2307"/>
          </w:tcPr>
          <w:p>
            <w:pPr>
              <w:pStyle w:val="null3"/>
              <w:jc w:val="left"/>
            </w:pPr>
            <w:r>
              <w:rPr/>
              <w:t>拟投入本项目主要人员情况 (15.0分)</w:t>
            </w:r>
          </w:p>
        </w:tc>
        <w:tc>
          <w:tcPr>
            <w:tcW w:type="dxa" w:w="5076"/>
          </w:tcPr>
          <w:p>
            <w:pPr>
              <w:pStyle w:val="null3"/>
              <w:jc w:val="left"/>
            </w:pPr>
            <w:r>
              <w:rPr/>
              <w:t>1、项目负责人（1人）： 具有机电类或电气类专业副高级及以上工程师的，得2分，具有机电类或电气类专业中级工程师的，得1分。 本项最高得2分。 2、技术负责人（1人）： 具有机电类或电气类专业副高级及以上工程师的，得2分， 具有机电类或电气类专业中级工程师的，得1分。 本项最高得2分。 3、专职作业人员： 专职作业人员持有政府相关职能部门颁发的《特种作业操作证》（作业类别：高压电工作业）或 《特种作业操作证》（作业类别：低压电工作业）或《特种作业操作证》（作业类别：高处安装、维护、拆除作业），每提供一个得1分，本项最高得11分。 注：提供人员的身份证、相关证书复印件或扫描件和投标人为其缴纳的2024年2月至今任意一个月的社保证明材料并加盖单位电子公章。如投标人为成立不足一个月的公司，则提供与其签订的劳动合同，或提供承诺书（承诺书内容包括但不限于：“若我单位中标，我单位承诺在签订合同前保证投标文件中所配备投入本项目的人员全部到位，并且提供投入本项目人员的劳务证明文件（社保证明或劳动合同或劳务合同），否则采购人有权取消我单位中标资格。”）加盖投标人公章视为满足社保评审要求。 未按要求提供的，本项不得分。 中华人民共和国特种作业操作证查询网址： https://cx.mem.gov.cn/ （如联合体投标，联合体各方提供均可）</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自2020年2月1日以来（以合同签订时间为准），投标人承担过的同类项目业绩，每提供一份得1分，本项满分5分。注： 1.同类业绩指：投标人自身承揽的路灯合同能源管理（能源托管型）的业绩。 2.投标文件中须提供合同复印件加盖投标人公章，合同至少包含清晰的双方盖章、签订时间、标的名称、内容等合同信息。业绩时间以合同签订时间为准。提供证明材料不齐全、不清晰或不符合上述要求的不予计算。（如联合体投标，联合体各方提供均可）</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中山市古镇镇市政路灯改造项目</w:t>
      </w:r>
      <w:r>
        <w:rPr>
          <w:sz w:val="48"/>
          <w:b/>
          <w:shd w:fill="FFFFFF" w:val="clear"/>
        </w:rPr>
        <w:t>(</w:t>
      </w:r>
      <w:r>
        <w:rPr>
          <w:sz w:val="48"/>
          <w:b/>
          <w:shd w:fill="FFFFFF" w:val="clear"/>
        </w:rPr>
        <w:t>二次</w:t>
      </w:r>
      <w:r>
        <w:rPr>
          <w:sz w:val="48"/>
          <w:b/>
          <w:shd w:fill="FFFFFF" w:val="clear"/>
        </w:rPr>
        <w:t>)</w:t>
      </w:r>
    </w:p>
    <w:p>
      <w:pPr>
        <w:pStyle w:val="null3"/>
        <w:jc w:val="center"/>
      </w:pPr>
      <w:r>
        <w:rPr>
          <w:sz w:val="48"/>
          <w:b/>
          <w:shd w:fill="FFFFFF" w:val="clear"/>
        </w:rPr>
        <w:t>合　同　书</w:t>
      </w:r>
    </w:p>
    <w:p>
      <w:pPr>
        <w:pStyle w:val="null3"/>
        <w:jc w:val="center"/>
      </w:pPr>
      <w:r>
        <w:br/>
      </w:r>
      <w:r>
        <w:br/>
      </w:r>
      <w:r>
        <w:br/>
      </w:r>
      <w:r>
        <w:br/>
      </w:r>
      <w:r>
        <w:br/>
      </w:r>
      <w:r>
        <w:br/>
      </w:r>
      <w:r>
        <w:br/>
      </w:r>
      <w:r>
        <w:br/>
      </w:r>
    </w:p>
    <w:p>
      <w:pPr>
        <w:pStyle w:val="null3"/>
        <w:jc w:val="center"/>
      </w:pPr>
      <w:r>
        <w:rPr>
          <w:sz w:val="21"/>
          <w:shd w:fill="FFFFFF" w:val="clear"/>
        </w:rPr>
        <w:t>采购计划编号：</w:t>
      </w:r>
    </w:p>
    <w:p>
      <w:pPr>
        <w:pStyle w:val="null3"/>
        <w:jc w:val="center"/>
      </w:pPr>
      <w:r>
        <w:rPr>
          <w:sz w:val="21"/>
          <w:shd w:fill="FFFFFF" w:val="clear"/>
        </w:rPr>
        <w:t>项目编号：</w:t>
      </w:r>
    </w:p>
    <w:p>
      <w:pPr>
        <w:pStyle w:val="null3"/>
        <w:jc w:val="center"/>
      </w:pPr>
      <w:r>
        <w:rPr>
          <w:sz w:val="21"/>
          <w:shd w:fill="FFFFFF" w:val="clear"/>
        </w:rPr>
        <w:t>签订日期：</w:t>
      </w:r>
    </w:p>
    <w:p>
      <w:pPr>
        <w:pStyle w:val="null3"/>
        <w:jc w:val="center"/>
      </w:pPr>
      <w:r>
        <w:rPr>
          <w:sz w:val="21"/>
          <w:shd w:fill="FFFFFF" w:val="clear"/>
        </w:rPr>
        <w:t>签约地点：</w:t>
      </w:r>
    </w:p>
    <w:p>
      <w:pPr>
        <w:pStyle w:val="null3"/>
        <w:jc w:val="center"/>
      </w:pPr>
      <w:r>
        <w:rPr/>
        <w:t xml:space="preserve"> </w:t>
      </w:r>
      <w:r>
        <w:rPr>
          <w:sz w:val="21"/>
          <w:b/>
          <w:color w:val="222222"/>
        </w:rPr>
        <w:t>（注：本合同格式只供参考，具体以双方签订合同为准）</w:t>
      </w:r>
    </w:p>
    <w:p>
      <w:pPr>
        <w:pStyle w:val="null3"/>
        <w:jc w:val="both"/>
      </w:pPr>
      <w:r>
        <w:rPr>
          <w:sz w:val="21"/>
          <w:b/>
          <w:shd w:fill="FFFFFF" w:val="clear"/>
        </w:rPr>
        <w:t>甲方：</w:t>
      </w:r>
    </w:p>
    <w:p>
      <w:pPr>
        <w:pStyle w:val="null3"/>
        <w:jc w:val="both"/>
      </w:pPr>
      <w:r>
        <w:rPr>
          <w:sz w:val="21"/>
          <w:shd w:fill="FFFFFF" w:val="clear"/>
        </w:rPr>
        <w:t>电话：传真：地址：</w:t>
      </w:r>
    </w:p>
    <w:p>
      <w:pPr>
        <w:pStyle w:val="null3"/>
        <w:jc w:val="both"/>
      </w:pPr>
      <w:r>
        <w:rPr>
          <w:sz w:val="21"/>
          <w:b/>
          <w:shd w:fill="FFFFFF" w:val="clear"/>
        </w:rPr>
        <w:t>乙方：</w:t>
      </w:r>
    </w:p>
    <w:p>
      <w:pPr>
        <w:pStyle w:val="null3"/>
        <w:jc w:val="both"/>
      </w:pPr>
      <w:r>
        <w:rPr>
          <w:sz w:val="21"/>
          <w:shd w:fill="FFFFFF" w:val="clear"/>
        </w:rPr>
        <w:t>电话：传真：地址：</w:t>
      </w:r>
    </w:p>
    <w:p>
      <w:pPr>
        <w:pStyle w:val="null3"/>
        <w:jc w:val="both"/>
      </w:pPr>
      <w:r>
        <w:rPr>
          <w:sz w:val="21"/>
        </w:rPr>
        <w:t>用能单位</w:t>
      </w:r>
      <w:r>
        <w:rPr>
          <w:sz w:val="21"/>
        </w:rPr>
        <w:t>/</w:t>
      </w:r>
      <w:r>
        <w:rPr>
          <w:sz w:val="21"/>
        </w:rPr>
        <w:t>项目实施单位</w:t>
      </w:r>
      <w:r>
        <w:rPr>
          <w:u w:val="single"/>
        </w:rPr>
        <w:t xml:space="preserve">                        </w:t>
      </w:r>
      <w:r>
        <w:rPr>
          <w:sz w:val="21"/>
        </w:rPr>
        <w:t>（以下简称</w:t>
      </w:r>
      <w:r>
        <w:rPr>
          <w:sz w:val="21"/>
        </w:rPr>
        <w:t>“甲方”）与节能服务公司</w:t>
      </w:r>
      <w:r>
        <w:rPr>
          <w:u w:val="single"/>
        </w:rPr>
        <w:t xml:space="preserve">                     </w:t>
      </w:r>
      <w:r>
        <w:rPr>
          <w:sz w:val="21"/>
        </w:rPr>
        <w:t>（以下简称</w:t>
      </w:r>
      <w:r>
        <w:rPr>
          <w:sz w:val="21"/>
        </w:rPr>
        <w:t>“乙方”）根据《中华人民共和国民法典》、《中华人民共和国政府采购法》、《中华人民共和国招标投标法》、《中华人民共和国节约能源法》、《公共机构节能条例》及有关节能、环保、供电、等法律、法规，本着平等、自愿的原则，就甲方的能源费用及其相应的能源供用系统（以下简称“托管项目”或“合同能源管理项目”或“节能项目”）按“能源费用托管型合同能源管理”模式进行托管的事宜，经双方协商一致，签订本合同（以下简称“托管协议”）</w:t>
      </w:r>
    </w:p>
    <w:p>
      <w:pPr>
        <w:pStyle w:val="null3"/>
        <w:ind w:firstLine="412"/>
        <w:jc w:val="left"/>
      </w:pPr>
      <w:r>
        <w:rPr>
          <w:sz w:val="21"/>
          <w:b/>
        </w:rPr>
        <w:t>第一条名词解释</w:t>
      </w:r>
    </w:p>
    <w:p>
      <w:pPr>
        <w:pStyle w:val="null3"/>
        <w:jc w:val="left"/>
      </w:pPr>
      <w:r>
        <w:rPr>
          <w:sz w:val="21"/>
        </w:rPr>
        <w:t>1.1.</w:t>
      </w:r>
      <w:r>
        <w:rPr>
          <w:sz w:val="21"/>
        </w:rPr>
        <w:t>合同能源管理</w:t>
      </w:r>
    </w:p>
    <w:p>
      <w:pPr>
        <w:pStyle w:val="null3"/>
        <w:jc w:val="left"/>
      </w:pPr>
      <w:r>
        <w:rPr>
          <w:sz w:val="21"/>
        </w:rPr>
        <w:t>节能服务公司与用能单位以托管协议形式约定节能项目的节能目标，节能服务公司为实现节能目标向用能单位提供必要的服务，用能单位以能源托管服务费（以下简称</w:t>
      </w:r>
      <w:r>
        <w:rPr>
          <w:sz w:val="21"/>
        </w:rPr>
        <w:t>“托管服务费”）支付节能服务公司的投入及其合理利润的节能服务机制。</w:t>
      </w:r>
    </w:p>
    <w:p>
      <w:pPr>
        <w:pStyle w:val="null3"/>
        <w:jc w:val="left"/>
      </w:pPr>
      <w:r>
        <w:rPr>
          <w:sz w:val="21"/>
        </w:rPr>
        <w:t>1.2.</w:t>
      </w:r>
      <w:r>
        <w:rPr>
          <w:sz w:val="21"/>
        </w:rPr>
        <w:t>节能量</w:t>
      </w:r>
    </w:p>
    <w:p>
      <w:pPr>
        <w:pStyle w:val="null3"/>
        <w:jc w:val="left"/>
      </w:pPr>
      <w:r>
        <w:rPr>
          <w:sz w:val="21"/>
        </w:rPr>
        <w:t>满足同等需求或达到相同目的的条件下，能源消耗减少的数量。</w:t>
      </w:r>
    </w:p>
    <w:p>
      <w:pPr>
        <w:pStyle w:val="null3"/>
        <w:jc w:val="left"/>
      </w:pPr>
      <w:r>
        <w:rPr>
          <w:sz w:val="21"/>
        </w:rPr>
        <w:t>1.3.</w:t>
      </w:r>
      <w:r>
        <w:rPr>
          <w:sz w:val="21"/>
        </w:rPr>
        <w:t>能源绩效</w:t>
      </w:r>
    </w:p>
    <w:p>
      <w:pPr>
        <w:pStyle w:val="null3"/>
        <w:jc w:val="left"/>
      </w:pPr>
      <w:r>
        <w:rPr>
          <w:sz w:val="21"/>
        </w:rPr>
        <w:t>与能源效率、能源使用和能源消耗有关的、可测量的结果。</w:t>
      </w:r>
    </w:p>
    <w:p>
      <w:pPr>
        <w:pStyle w:val="null3"/>
        <w:jc w:val="left"/>
      </w:pPr>
      <w:r>
        <w:rPr>
          <w:sz w:val="21"/>
        </w:rPr>
        <w:t>1.4.</w:t>
      </w:r>
      <w:r>
        <w:rPr>
          <w:sz w:val="21"/>
        </w:rPr>
        <w:t>能源绩效参数</w:t>
      </w:r>
    </w:p>
    <w:p>
      <w:pPr>
        <w:pStyle w:val="null3"/>
        <w:jc w:val="left"/>
      </w:pPr>
      <w:r>
        <w:rPr>
          <w:sz w:val="21"/>
        </w:rPr>
        <w:t>可量化能源绩效的数值或量度。</w:t>
      </w:r>
    </w:p>
    <w:p>
      <w:pPr>
        <w:pStyle w:val="null3"/>
        <w:jc w:val="left"/>
      </w:pPr>
      <w:r>
        <w:rPr>
          <w:sz w:val="21"/>
        </w:rPr>
        <w:t>1.5.</w:t>
      </w:r>
      <w:r>
        <w:rPr>
          <w:sz w:val="21"/>
        </w:rPr>
        <w:t>能源基准</w:t>
      </w:r>
    </w:p>
    <w:p>
      <w:pPr>
        <w:pStyle w:val="null3"/>
        <w:jc w:val="left"/>
      </w:pPr>
      <w:r>
        <w:rPr>
          <w:sz w:val="21"/>
        </w:rPr>
        <w:t>用作比较能源绩效的定量参考依据。</w:t>
      </w:r>
    </w:p>
    <w:p>
      <w:pPr>
        <w:pStyle w:val="null3"/>
        <w:jc w:val="left"/>
      </w:pPr>
      <w:r>
        <w:rPr>
          <w:sz w:val="21"/>
        </w:rPr>
        <w:t>1.6.</w:t>
      </w:r>
      <w:r>
        <w:rPr>
          <w:sz w:val="21"/>
        </w:rPr>
        <w:t>基期</w:t>
      </w:r>
    </w:p>
    <w:p>
      <w:pPr>
        <w:pStyle w:val="null3"/>
        <w:jc w:val="left"/>
      </w:pPr>
      <w:r>
        <w:rPr>
          <w:sz w:val="21"/>
        </w:rPr>
        <w:t>用以比较和确定节能量的，能源绩效改进措施实施前的时间段。</w:t>
      </w:r>
    </w:p>
    <w:p>
      <w:pPr>
        <w:pStyle w:val="null3"/>
        <w:jc w:val="left"/>
      </w:pPr>
      <w:r>
        <w:rPr>
          <w:sz w:val="21"/>
        </w:rPr>
        <w:t>1.7.</w:t>
      </w:r>
      <w:r>
        <w:rPr>
          <w:sz w:val="21"/>
        </w:rPr>
        <w:t>基准能源费用</w:t>
      </w:r>
    </w:p>
    <w:p>
      <w:pPr>
        <w:pStyle w:val="null3"/>
        <w:jc w:val="left"/>
      </w:pPr>
      <w:r>
        <w:rPr>
          <w:sz w:val="21"/>
        </w:rPr>
        <w:t>用能单位在基期所花费的能源费用。</w:t>
      </w:r>
    </w:p>
    <w:p>
      <w:pPr>
        <w:pStyle w:val="null3"/>
        <w:jc w:val="left"/>
      </w:pPr>
      <w:r>
        <w:rPr>
          <w:sz w:val="21"/>
        </w:rPr>
        <w:t>1.8.</w:t>
      </w:r>
      <w:r>
        <w:rPr>
          <w:sz w:val="21"/>
        </w:rPr>
        <w:t>托管服务费</w:t>
      </w:r>
    </w:p>
    <w:p>
      <w:pPr>
        <w:pStyle w:val="null3"/>
        <w:ind w:firstLine="420"/>
        <w:jc w:val="left"/>
      </w:pPr>
      <w:r>
        <w:rPr>
          <w:sz w:val="21"/>
        </w:rPr>
        <w:t>通过实施合同能源管理项目，产生相应的节能量，用能单位减少能源费用支出，将基期能源费用的一部分及维修维护费作为托管服务费支付给节能服务公司，用能单位拥有基期能源费用的其余部分。托管服务费由乙方包干使用，用途包括项目智慧化管理系统建设、节能改造费、向供电单位缴纳电费、运行维修维护费、管理费、人员工资等，以及乙方实施项目应缴纳的税费，结余部分为乙方的利润。</w:t>
      </w:r>
    </w:p>
    <w:p>
      <w:pPr>
        <w:pStyle w:val="null3"/>
        <w:jc w:val="left"/>
      </w:pPr>
      <w:r>
        <w:rPr>
          <w:sz w:val="21"/>
        </w:rPr>
        <w:t>1.9.</w:t>
      </w:r>
      <w:r>
        <w:rPr>
          <w:sz w:val="21"/>
        </w:rPr>
        <w:t>能源费用托管</w:t>
      </w:r>
    </w:p>
    <w:p>
      <w:pPr>
        <w:pStyle w:val="null3"/>
        <w:ind w:firstLine="420"/>
        <w:jc w:val="left"/>
      </w:pPr>
      <w:r>
        <w:rPr>
          <w:sz w:val="21"/>
        </w:rPr>
        <w:t>合同能源管理的一种形式。由用能单位委托节能服务公司进行能源系统的运行、管理、维护和节能改造。用能单位根据能源基准确定的能源系统运行、管理、维护和能源使用的费用，支付给节能服务公司作为托管服务费用。节能服务公司通过科学的管理运行和节能技术的应用达到节约能源，减少费用支出或增加收益，获取合理的利润。</w:t>
      </w:r>
    </w:p>
    <w:p>
      <w:pPr>
        <w:pStyle w:val="null3"/>
        <w:ind w:firstLine="420"/>
        <w:jc w:val="left"/>
      </w:pPr>
      <w:r>
        <w:rPr>
          <w:sz w:val="21"/>
        </w:rPr>
        <w:t>1.10.</w:t>
      </w:r>
      <w:r>
        <w:rPr>
          <w:sz w:val="21"/>
        </w:rPr>
        <w:t>城市照明设施</w:t>
      </w:r>
    </w:p>
    <w:p>
      <w:pPr>
        <w:pStyle w:val="null3"/>
        <w:ind w:firstLine="420"/>
        <w:jc w:val="left"/>
      </w:pPr>
      <w:r>
        <w:rPr>
          <w:sz w:val="21"/>
        </w:rPr>
        <w:t>城市照明设施包括功能照明设施和景观照明设施，功能照明设施包括路灯及照明专用供配电</w:t>
      </w:r>
    </w:p>
    <w:p>
      <w:pPr>
        <w:pStyle w:val="null3"/>
        <w:jc w:val="left"/>
      </w:pPr>
      <w:r>
        <w:rPr>
          <w:sz w:val="21"/>
        </w:rPr>
        <w:t>设施、控制系统、灯杆、灯具、供照明使用的地上地下电缆管线，以及其他照明附属设备、设施</w:t>
      </w:r>
    </w:p>
    <w:p>
      <w:pPr>
        <w:pStyle w:val="null3"/>
        <w:jc w:val="left"/>
      </w:pPr>
      <w:r>
        <w:rPr>
          <w:sz w:val="21"/>
        </w:rPr>
        <w:t>等。景观照明设施包括人工光设施和人工光专用供配电设施、控制系统、灯杆、灯具、地上地下电缆管线，以及其他人工光附属设备、设施等。</w:t>
      </w:r>
    </w:p>
    <w:p>
      <w:pPr>
        <w:pStyle w:val="null3"/>
        <w:ind w:firstLine="420"/>
        <w:jc w:val="left"/>
      </w:pPr>
      <w:r>
        <w:rPr>
          <w:sz w:val="21"/>
          <w:b/>
        </w:rPr>
        <w:t>第二条托管项目基本情况</w:t>
      </w:r>
    </w:p>
    <w:p>
      <w:pPr>
        <w:pStyle w:val="null3"/>
        <w:jc w:val="left"/>
      </w:pPr>
      <w:r>
        <w:rPr>
          <w:sz w:val="21"/>
        </w:rPr>
        <w:t>2.1</w:t>
      </w:r>
      <w:r>
        <w:rPr>
          <w:sz w:val="21"/>
        </w:rPr>
        <w:t>项目名称：</w:t>
      </w:r>
      <w:r>
        <w:rPr>
          <w:sz w:val="21"/>
        </w:rPr>
        <w:t>中山市古镇镇市政路灯改造项目</w:t>
      </w:r>
      <w:r>
        <w:rPr>
          <w:sz w:val="21"/>
        </w:rPr>
        <w:t>(</w:t>
      </w:r>
      <w:r>
        <w:rPr>
          <w:sz w:val="21"/>
        </w:rPr>
        <w:t>二次</w:t>
      </w:r>
      <w:r>
        <w:rPr>
          <w:sz w:val="21"/>
        </w:rPr>
        <w:t>)</w:t>
      </w:r>
    </w:p>
    <w:p>
      <w:pPr>
        <w:pStyle w:val="null3"/>
        <w:jc w:val="left"/>
      </w:pPr>
      <w:r>
        <w:rPr>
          <w:sz w:val="21"/>
        </w:rPr>
        <w:t>2.2</w:t>
      </w:r>
      <w:r>
        <w:rPr>
          <w:sz w:val="21"/>
        </w:rPr>
        <w:t>托管范围：中山市古镇镇全镇区市政道路路段路灯节能改造，以及路灯系统的运行管理、维修维护等。</w:t>
      </w:r>
    </w:p>
    <w:p>
      <w:pPr>
        <w:pStyle w:val="null3"/>
        <w:jc w:val="left"/>
      </w:pPr>
      <w:r>
        <w:rPr>
          <w:sz w:val="21"/>
        </w:rPr>
        <w:t>2.3</w:t>
      </w:r>
      <w:r>
        <w:rPr>
          <w:sz w:val="21"/>
        </w:rPr>
        <w:t>托管内容：本项目采用“能源托管”模式就古镇镇市政路灯改造项目进行专项服务，在项目托管期内，对中山市古镇镇全镇区市政道路路段路灯进行节能改造和运营维护。中标人负责项目的建设、运营、维修、管养管理一体、电费缴纳等工作，招标人按照合同约定，根据考核结果，分期支付相应的费用。中标人通过提高能源效率降低能源费用，并按照合同约定拥有节约的部分能源费用。</w:t>
      </w:r>
    </w:p>
    <w:p>
      <w:pPr>
        <w:pStyle w:val="null3"/>
        <w:jc w:val="left"/>
      </w:pPr>
      <w:r>
        <w:rPr>
          <w:sz w:val="21"/>
        </w:rPr>
        <w:t>2.4</w:t>
      </w:r>
      <w:r>
        <w:rPr>
          <w:sz w:val="21"/>
        </w:rPr>
        <w:t>托管项目包含的城市照明设施及配套设施由双方进行逐一造册，形成城市照明设施及其附属设施清单作为本合同附件一。</w:t>
      </w:r>
    </w:p>
    <w:p>
      <w:pPr>
        <w:pStyle w:val="null3"/>
        <w:jc w:val="left"/>
      </w:pPr>
      <w:r>
        <w:rPr>
          <w:sz w:val="21"/>
          <w:b/>
        </w:rPr>
        <w:t>第三条能源审计和能源基准</w:t>
      </w:r>
    </w:p>
    <w:p>
      <w:pPr>
        <w:pStyle w:val="null3"/>
        <w:jc w:val="left"/>
      </w:pPr>
      <w:r>
        <w:rPr>
          <w:sz w:val="21"/>
        </w:rPr>
        <w:t>3.1</w:t>
      </w:r>
      <w:r>
        <w:rPr>
          <w:sz w:val="21"/>
        </w:rPr>
        <w:t>能源审计由甲方委托第三方审计机构完成，能源审计报告为本合同附件二。</w:t>
      </w:r>
    </w:p>
    <w:p>
      <w:pPr>
        <w:pStyle w:val="null3"/>
        <w:jc w:val="left"/>
      </w:pPr>
      <w:r>
        <w:rPr>
          <w:sz w:val="21"/>
        </w:rPr>
        <w:t>3.2</w:t>
      </w:r>
      <w:r>
        <w:rPr>
          <w:sz w:val="21"/>
        </w:rPr>
        <w:t>能源审计依据</w:t>
      </w:r>
      <w:r>
        <w:rPr>
          <w:sz w:val="21"/>
        </w:rPr>
        <w:t>GB/T17166</w:t>
      </w:r>
      <w:r>
        <w:rPr>
          <w:sz w:val="21"/>
        </w:rPr>
        <w:t>《能源审计技术通则》和《公共机构能源审计管理暂行办法》等进行。</w:t>
      </w:r>
    </w:p>
    <w:p>
      <w:pPr>
        <w:pStyle w:val="null3"/>
        <w:jc w:val="left"/>
      </w:pPr>
      <w:r>
        <w:rPr>
          <w:sz w:val="21"/>
        </w:rPr>
        <w:t>3.3</w:t>
      </w:r>
      <w:r>
        <w:rPr>
          <w:sz w:val="21"/>
        </w:rPr>
        <w:t>能源基准</w:t>
      </w:r>
    </w:p>
    <w:p>
      <w:pPr>
        <w:pStyle w:val="null3"/>
        <w:jc w:val="left"/>
      </w:pPr>
      <w:r>
        <w:rPr>
          <w:sz w:val="21"/>
        </w:rPr>
        <w:t>3.3.1</w:t>
      </w:r>
      <w:r>
        <w:rPr>
          <w:sz w:val="21"/>
        </w:rPr>
        <w:t>路灯设施情况：</w:t>
      </w:r>
    </w:p>
    <w:p>
      <w:pPr>
        <w:pStyle w:val="null3"/>
        <w:jc w:val="both"/>
      </w:pPr>
      <w:r>
        <w:rPr>
          <w:sz w:val="21"/>
        </w:rPr>
        <w:t>3.3.2</w:t>
      </w:r>
      <w:r>
        <w:rPr>
          <w:sz w:val="21"/>
        </w:rPr>
        <w:t>景观照明设施情况：</w:t>
      </w:r>
    </w:p>
    <w:p>
      <w:pPr>
        <w:pStyle w:val="null3"/>
        <w:jc w:val="left"/>
      </w:pPr>
      <w:r>
        <w:rPr>
          <w:sz w:val="21"/>
          <w:b/>
        </w:rPr>
        <w:t>第四条合同履行期限</w:t>
      </w:r>
    </w:p>
    <w:p>
      <w:pPr>
        <w:pStyle w:val="null3"/>
        <w:jc w:val="left"/>
      </w:pPr>
      <w:r>
        <w:rPr>
          <w:sz w:val="21"/>
        </w:rPr>
        <w:t>4.1</w:t>
      </w:r>
      <w:r>
        <w:rPr>
          <w:sz w:val="21"/>
        </w:rPr>
        <w:t>合同履行期限为</w:t>
      </w:r>
      <w:r>
        <w:rPr>
          <w:sz w:val="21"/>
        </w:rPr>
        <w:t>10</w:t>
      </w:r>
      <w:r>
        <w:rPr>
          <w:sz w:val="21"/>
        </w:rPr>
        <w:t>年，自</w:t>
      </w:r>
      <w:r>
        <w:rPr>
          <w:u w:val="single"/>
        </w:rPr>
        <w:t xml:space="preserve">    </w:t>
      </w:r>
      <w:r>
        <w:rPr>
          <w:sz w:val="21"/>
        </w:rPr>
        <w:t>年</w:t>
      </w:r>
      <w:r>
        <w:rPr>
          <w:u w:val="single"/>
        </w:rPr>
        <w:t xml:space="preserve">   </w:t>
      </w:r>
      <w:r>
        <w:rPr>
          <w:sz w:val="21"/>
        </w:rPr>
        <w:t>月</w:t>
      </w:r>
      <w:r>
        <w:rPr>
          <w:u w:val="single"/>
        </w:rPr>
        <w:t xml:space="preserve">   </w:t>
      </w:r>
      <w:r>
        <w:rPr>
          <w:sz w:val="21"/>
        </w:rPr>
        <w:t>日起至</w:t>
      </w:r>
      <w:r>
        <w:rPr>
          <w:u w:val="single"/>
        </w:rPr>
        <w:t xml:space="preserve">     </w:t>
      </w:r>
      <w:r>
        <w:rPr>
          <w:sz w:val="21"/>
        </w:rPr>
        <w:t>年</w:t>
      </w:r>
      <w:r>
        <w:rPr>
          <w:u w:val="single"/>
        </w:rPr>
        <w:t xml:space="preserve">   </w:t>
      </w:r>
      <w:r>
        <w:rPr>
          <w:sz w:val="21"/>
        </w:rPr>
        <w:t>月</w:t>
      </w:r>
      <w:r>
        <w:rPr>
          <w:u w:val="single"/>
        </w:rPr>
        <w:t xml:space="preserve">   </w:t>
      </w:r>
      <w:r>
        <w:rPr>
          <w:sz w:val="21"/>
        </w:rPr>
        <w:t>日止，包括交接期、节能改造期和托管期。年限按照</w:t>
      </w:r>
      <w:r>
        <w:rPr>
          <w:sz w:val="21"/>
        </w:rPr>
        <w:t>“</w:t>
      </w:r>
      <w:r>
        <w:rPr>
          <w:sz w:val="21"/>
        </w:rPr>
        <w:t>6+4</w:t>
      </w:r>
      <w:r>
        <w:rPr>
          <w:sz w:val="21"/>
        </w:rPr>
        <w:t>”实施运营建设，第一期运营年限为</w:t>
      </w:r>
      <w:r>
        <w:rPr>
          <w:sz w:val="21"/>
        </w:rPr>
        <w:t>6</w:t>
      </w:r>
      <w:r>
        <w:rPr>
          <w:sz w:val="21"/>
        </w:rPr>
        <w:t>年，</w:t>
      </w:r>
      <w:r>
        <w:rPr>
          <w:sz w:val="21"/>
        </w:rPr>
        <w:t>6</w:t>
      </w:r>
      <w:r>
        <w:rPr>
          <w:sz w:val="21"/>
        </w:rPr>
        <w:t>年后根据项目运营情况</w:t>
      </w:r>
      <w:r>
        <w:rPr>
          <w:sz w:val="21"/>
        </w:rPr>
        <w:t>,</w:t>
      </w:r>
      <w:r>
        <w:rPr>
          <w:sz w:val="21"/>
        </w:rPr>
        <w:t>确定是否续签。</w:t>
      </w:r>
    </w:p>
    <w:p>
      <w:pPr>
        <w:pStyle w:val="null3"/>
        <w:jc w:val="left"/>
      </w:pPr>
      <w:r>
        <w:rPr>
          <w:sz w:val="21"/>
        </w:rPr>
        <w:t>4.2</w:t>
      </w:r>
      <w:r>
        <w:rPr>
          <w:sz w:val="21"/>
        </w:rPr>
        <w:t>交接期：</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年</w:t>
      </w:r>
      <w:r>
        <w:rPr>
          <w:u w:val="single"/>
        </w:rPr>
        <w:t xml:space="preserve">   </w:t>
      </w:r>
      <w:r>
        <w:rPr>
          <w:sz w:val="21"/>
        </w:rPr>
        <w:t>月</w:t>
      </w:r>
      <w:r>
        <w:rPr>
          <w:u w:val="single"/>
        </w:rPr>
        <w:t xml:space="preserve">   </w:t>
      </w:r>
      <w:r>
        <w:rPr>
          <w:sz w:val="21"/>
        </w:rPr>
        <w:t>日为交接期。自交接期起，乙方负责缴纳托管的城市照明设施电费，与原管养维护主体配合开展完成城市照明设施清点移交、维护管养工作移交，按原管养维护费标准向原管养维护主体付费，并制定节能改造方案和员工安置方案。各方的具体权利义务以《交接期协议》约定为准。</w:t>
      </w:r>
    </w:p>
    <w:p>
      <w:pPr>
        <w:pStyle w:val="null3"/>
        <w:jc w:val="left"/>
      </w:pPr>
      <w:r>
        <w:rPr>
          <w:sz w:val="21"/>
        </w:rPr>
        <w:t>4.3</w:t>
      </w:r>
      <w:r>
        <w:rPr>
          <w:sz w:val="21"/>
        </w:rPr>
        <w:t>节能改造期：</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年</w:t>
      </w:r>
      <w:r>
        <w:rPr>
          <w:u w:val="single"/>
        </w:rPr>
        <w:t xml:space="preserve">   </w:t>
      </w:r>
      <w:r>
        <w:rPr>
          <w:sz w:val="21"/>
        </w:rPr>
        <w:t>月</w:t>
      </w:r>
      <w:r>
        <w:rPr>
          <w:u w:val="single"/>
        </w:rPr>
        <w:t xml:space="preserve">   </w:t>
      </w:r>
      <w:r>
        <w:rPr>
          <w:sz w:val="21"/>
        </w:rPr>
        <w:t>日为节能改造期。节能改造期内，乙方根据合同约定及经甲方批准的节能改造方案对城市照明设施进行节能改造，甲方对节能改造成果进行检测、验收。</w:t>
      </w:r>
    </w:p>
    <w:p>
      <w:pPr>
        <w:pStyle w:val="null3"/>
        <w:jc w:val="left"/>
      </w:pPr>
      <w:r>
        <w:rPr>
          <w:sz w:val="21"/>
        </w:rPr>
        <w:t>4.4</w:t>
      </w:r>
      <w:r>
        <w:rPr>
          <w:sz w:val="21"/>
        </w:rPr>
        <w:t>托管期：</w:t>
      </w:r>
      <w:r>
        <w:rPr>
          <w:u w:val="single"/>
        </w:rPr>
        <w:t xml:space="preserve">     </w:t>
      </w:r>
      <w:r>
        <w:rPr>
          <w:sz w:val="21"/>
        </w:rPr>
        <w:t>年</w:t>
      </w:r>
      <w:r>
        <w:rPr>
          <w:u w:val="single"/>
        </w:rPr>
        <w:t xml:space="preserve">   </w:t>
      </w:r>
      <w:r>
        <w:rPr>
          <w:sz w:val="21"/>
        </w:rPr>
        <w:t>月</w:t>
      </w:r>
      <w:r>
        <w:rPr>
          <w:u w:val="single"/>
        </w:rPr>
        <w:t xml:space="preserve">   </w:t>
      </w:r>
      <w:r>
        <w:rPr>
          <w:sz w:val="21"/>
        </w:rPr>
        <w:t>日起至</w:t>
      </w:r>
      <w:r>
        <w:rPr>
          <w:u w:val="single"/>
        </w:rPr>
        <w:t xml:space="preserve">     </w:t>
      </w:r>
      <w:r>
        <w:rPr>
          <w:sz w:val="21"/>
        </w:rPr>
        <w:t>年</w:t>
      </w:r>
      <w:r>
        <w:rPr>
          <w:u w:val="single"/>
        </w:rPr>
        <w:t xml:space="preserve">   </w:t>
      </w:r>
      <w:r>
        <w:rPr>
          <w:sz w:val="21"/>
        </w:rPr>
        <w:t>月</w:t>
      </w:r>
      <w:r>
        <w:rPr>
          <w:u w:val="single"/>
        </w:rPr>
        <w:t xml:space="preserve">   </w:t>
      </w:r>
      <w:r>
        <w:rPr>
          <w:sz w:val="21"/>
        </w:rPr>
        <w:t>日为托管期。托管期内，乙方根据合</w:t>
      </w:r>
    </w:p>
    <w:p>
      <w:pPr>
        <w:pStyle w:val="null3"/>
        <w:jc w:val="left"/>
      </w:pPr>
      <w:r>
        <w:rPr>
          <w:sz w:val="21"/>
        </w:rPr>
        <w:t>同约定对城市照明设施进行管养维护、电费缴纳，甲方对乙方进行考核并根据考核结果付费。</w:t>
      </w:r>
    </w:p>
    <w:p>
      <w:pPr>
        <w:pStyle w:val="null3"/>
        <w:jc w:val="left"/>
      </w:pPr>
      <w:r>
        <w:rPr>
          <w:sz w:val="21"/>
          <w:b/>
        </w:rPr>
        <w:t>第五条节能目标</w:t>
      </w:r>
    </w:p>
    <w:p>
      <w:pPr>
        <w:pStyle w:val="null3"/>
        <w:jc w:val="left"/>
      </w:pPr>
      <w:r>
        <w:rPr>
          <w:sz w:val="21"/>
        </w:rPr>
        <w:t>采用</w:t>
      </w:r>
      <w:r>
        <w:rPr>
          <w:sz w:val="21"/>
        </w:rPr>
        <w:t>LED</w:t>
      </w:r>
      <w:r>
        <w:rPr>
          <w:sz w:val="21"/>
        </w:rPr>
        <w:t>等新型高效光源对目前现存的高压钠灯和老旧的</w:t>
      </w:r>
      <w:r>
        <w:rPr>
          <w:sz w:val="21"/>
        </w:rPr>
        <w:t>LED</w:t>
      </w:r>
      <w:r>
        <w:rPr>
          <w:sz w:val="21"/>
        </w:rPr>
        <w:t>光源进行更换，节能率达</w:t>
      </w:r>
    </w:p>
    <w:p>
      <w:pPr>
        <w:pStyle w:val="null3"/>
        <w:jc w:val="left"/>
      </w:pPr>
      <w:r>
        <w:rPr>
          <w:sz w:val="21"/>
        </w:rPr>
        <w:t>到</w:t>
      </w:r>
      <w:r>
        <w:rPr>
          <w:u w:val="single"/>
        </w:rPr>
        <w:t xml:space="preserve">        </w:t>
      </w:r>
      <w:r>
        <w:rPr>
          <w:sz w:val="21"/>
        </w:rPr>
        <w:t>，具体以经甲方批准的节能改造方案为准。</w:t>
      </w:r>
    </w:p>
    <w:p>
      <w:pPr>
        <w:pStyle w:val="null3"/>
        <w:jc w:val="left"/>
      </w:pPr>
      <w:r>
        <w:rPr>
          <w:sz w:val="21"/>
          <w:b/>
        </w:rPr>
        <w:t>第六条节能改造</w:t>
      </w:r>
    </w:p>
    <w:p>
      <w:pPr>
        <w:pStyle w:val="null3"/>
        <w:jc w:val="left"/>
      </w:pPr>
      <w:r>
        <w:rPr>
          <w:sz w:val="21"/>
        </w:rPr>
        <w:t>6.1</w:t>
      </w:r>
      <w:r>
        <w:rPr>
          <w:sz w:val="21"/>
        </w:rPr>
        <w:t>托管项目范围内需对城市照明系统进行节能改造，乙方应于</w:t>
      </w:r>
      <w:r>
        <w:rPr>
          <w:u w:val="single"/>
        </w:rPr>
        <w:t xml:space="preserve">    </w:t>
      </w:r>
      <w:r>
        <w:rPr>
          <w:sz w:val="21"/>
        </w:rPr>
        <w:t>年</w:t>
      </w:r>
      <w:r>
        <w:rPr>
          <w:u w:val="single"/>
        </w:rPr>
        <w:t xml:space="preserve">    </w:t>
      </w:r>
      <w:r>
        <w:rPr>
          <w:sz w:val="21"/>
        </w:rPr>
        <w:t>月</w:t>
      </w:r>
      <w:r>
        <w:rPr>
          <w:u w:val="single"/>
        </w:rPr>
        <w:t xml:space="preserve">    </w:t>
      </w:r>
      <w:r>
        <w:rPr>
          <w:sz w:val="21"/>
        </w:rPr>
        <w:t>日前制定专项或者综合节能改造方案，节能改造内容包括但不限于现存高压钠灯光源（约</w:t>
      </w:r>
      <w:r>
        <w:rPr>
          <w:u w:val="single"/>
        </w:rPr>
        <w:t xml:space="preserve">     </w:t>
      </w:r>
      <w:r>
        <w:rPr>
          <w:sz w:val="21"/>
        </w:rPr>
        <w:t>盏，总功率</w:t>
      </w:r>
      <w:r>
        <w:rPr>
          <w:u w:val="single"/>
        </w:rPr>
        <w:t xml:space="preserve">        </w:t>
      </w:r>
      <w:r>
        <w:rPr>
          <w:sz w:val="21"/>
        </w:rPr>
        <w:t>万千瓦）更换、现有照明控制系统升级改造等工作，实现道路照明提质增效、节能降耗，搭建智慧路灯管理信息平台，实现</w:t>
      </w:r>
      <w:r>
        <w:rPr>
          <w:sz w:val="21"/>
        </w:rPr>
        <w:t>“一张网”智慧管控。节能改造方案经甲方批准后实施。其中现存高压钠灯光源的更换应于</w:t>
      </w:r>
      <w:r>
        <w:rPr>
          <w:u w:val="single"/>
        </w:rPr>
        <w:t xml:space="preserve">      </w:t>
      </w:r>
      <w:r>
        <w:rPr>
          <w:sz w:val="21"/>
        </w:rPr>
        <w:t>年</w:t>
      </w:r>
      <w:r>
        <w:rPr>
          <w:u w:val="single"/>
        </w:rPr>
        <w:t xml:space="preserve">   </w:t>
      </w:r>
      <w:r>
        <w:rPr>
          <w:sz w:val="21"/>
        </w:rPr>
        <w:t>月</w:t>
      </w:r>
      <w:r>
        <w:rPr>
          <w:u w:val="single"/>
        </w:rPr>
        <w:t xml:space="preserve">   </w:t>
      </w:r>
      <w:r>
        <w:rPr>
          <w:sz w:val="21"/>
        </w:rPr>
        <w:t>日前完成。</w:t>
      </w:r>
    </w:p>
    <w:p>
      <w:pPr>
        <w:pStyle w:val="null3"/>
        <w:jc w:val="left"/>
      </w:pPr>
      <w:r>
        <w:rPr>
          <w:sz w:val="21"/>
        </w:rPr>
        <w:t>6.2</w:t>
      </w:r>
      <w:r>
        <w:rPr>
          <w:sz w:val="21"/>
        </w:rPr>
        <w:t>节能改造验收标准：</w:t>
      </w:r>
    </w:p>
    <w:p>
      <w:pPr>
        <w:pStyle w:val="null3"/>
        <w:jc w:val="left"/>
      </w:pPr>
      <w:r>
        <w:rPr>
          <w:sz w:val="21"/>
        </w:rPr>
        <w:t>6.2.1</w:t>
      </w:r>
      <w:r>
        <w:rPr>
          <w:sz w:val="21"/>
        </w:rPr>
        <w:t>改造后</w:t>
      </w:r>
      <w:r>
        <w:rPr>
          <w:sz w:val="21"/>
        </w:rPr>
        <w:t>LED</w:t>
      </w:r>
      <w:r>
        <w:rPr>
          <w:sz w:val="21"/>
        </w:rPr>
        <w:t>灯具数量不少于</w:t>
      </w:r>
      <w:r>
        <w:rPr>
          <w:u w:val="single"/>
        </w:rPr>
        <w:t xml:space="preserve">     </w:t>
      </w:r>
      <w:r>
        <w:rPr>
          <w:sz w:val="21"/>
        </w:rPr>
        <w:t>头，灯具参数及性能配置要求应达到成交人的投标文件承诺标准。改造后</w:t>
      </w:r>
      <w:r>
        <w:rPr>
          <w:sz w:val="21"/>
        </w:rPr>
        <w:t>LED</w:t>
      </w:r>
      <w:r>
        <w:rPr>
          <w:sz w:val="21"/>
        </w:rPr>
        <w:t>灯具功率与改造前高压钠灯功率降幅比例不超过</w:t>
      </w:r>
      <w:r>
        <w:rPr>
          <w:sz w:val="21"/>
        </w:rPr>
        <w:t>50%</w:t>
      </w:r>
      <w:r>
        <w:rPr>
          <w:sz w:val="21"/>
        </w:rPr>
        <w:t>。</w:t>
      </w:r>
    </w:p>
    <w:p>
      <w:pPr>
        <w:pStyle w:val="null3"/>
        <w:jc w:val="left"/>
      </w:pPr>
      <w:r>
        <w:rPr>
          <w:sz w:val="21"/>
        </w:rPr>
        <w:t>6.2.2</w:t>
      </w:r>
      <w:r>
        <w:rPr>
          <w:sz w:val="21"/>
        </w:rPr>
        <w:t>控制系统实现照明设施信息采集（托管范围内城市照明设施全覆盖，内容包含但不限于设施基础信息的采集录入）、实现改造单灯控制</w:t>
      </w:r>
      <w:r>
        <w:rPr>
          <w:u w:val="single"/>
        </w:rPr>
        <w:t xml:space="preserve">      </w:t>
      </w:r>
      <w:r>
        <w:rPr>
          <w:sz w:val="21"/>
        </w:rPr>
        <w:t>个、外供电检测</w:t>
      </w:r>
      <w:r>
        <w:rPr>
          <w:u w:val="single"/>
        </w:rPr>
        <w:t xml:space="preserve">     </w:t>
      </w:r>
      <w:r>
        <w:rPr>
          <w:sz w:val="21"/>
        </w:rPr>
        <w:t>个、漏电监测终端</w:t>
      </w:r>
      <w:r>
        <w:rPr>
          <w:u w:val="single"/>
        </w:rPr>
        <w:t xml:space="preserve">     </w:t>
      </w:r>
      <w:r>
        <w:rPr>
          <w:sz w:val="21"/>
        </w:rPr>
        <w:t>个、路灯监控管理终端</w:t>
      </w:r>
      <w:r>
        <w:rPr>
          <w:u w:val="single"/>
        </w:rPr>
        <w:t xml:space="preserve">      </w:t>
      </w:r>
      <w:r>
        <w:rPr>
          <w:sz w:val="21"/>
        </w:rPr>
        <w:t>个等功能（根据成交人的投标文件承诺内容完善）。</w:t>
      </w:r>
    </w:p>
    <w:p>
      <w:pPr>
        <w:pStyle w:val="null3"/>
        <w:jc w:val="left"/>
      </w:pPr>
      <w:r>
        <w:rPr>
          <w:sz w:val="21"/>
        </w:rPr>
        <w:t>6.2.3</w:t>
      </w:r>
      <w:r>
        <w:rPr>
          <w:sz w:val="21"/>
        </w:rPr>
        <w:t>照明控制系统升级改造后应实现一网统管、智慧控制，包括但不限于以下功能：区域开灯、分组开灯、间隔开灯等多种亮灯方式；智能运维、巡检等；城市照明资产普查及全寿命周期管理；开放源代码，可进行二次升级；控制中心机房搭建，服务器数据库本地化；（根据成交人的投标文件承诺内容完善）。</w:t>
      </w:r>
    </w:p>
    <w:p>
      <w:pPr>
        <w:pStyle w:val="null3"/>
        <w:jc w:val="left"/>
      </w:pPr>
      <w:r>
        <w:rPr>
          <w:sz w:val="21"/>
        </w:rPr>
        <w:t>6.2.4</w:t>
      </w:r>
      <w:r>
        <w:rPr>
          <w:sz w:val="21"/>
        </w:rPr>
        <w:t>改造后道路照明主要技术指标（照度、均匀度等）应达到</w:t>
      </w:r>
      <w:r>
        <w:rPr>
          <w:sz w:val="20"/>
        </w:rPr>
        <w:t>《城市道路照明设计标准》（</w:t>
      </w:r>
      <w:r>
        <w:rPr>
          <w:sz w:val="20"/>
        </w:rPr>
        <w:t>CJJ45-2015</w:t>
      </w:r>
      <w:r>
        <w:rPr>
          <w:sz w:val="20"/>
        </w:rPr>
        <w:t>）</w:t>
      </w:r>
      <w:r>
        <w:rPr>
          <w:sz w:val="21"/>
        </w:rPr>
        <w:t>要求的上限</w:t>
      </w:r>
      <w:r>
        <w:rPr>
          <w:sz w:val="20"/>
          <w:b/>
        </w:rPr>
        <w:t>且满足《古镇节能改造产品技术参数》的要求</w:t>
      </w:r>
      <w:r>
        <w:rPr>
          <w:sz w:val="21"/>
        </w:rPr>
        <w:t>，道路照明管养现状未达到上述标准的，改造后道路照明主要技术指标应达到上述标准；道路照明管养现状高于上述标准的，改造后道路照明主要技术指标不得低于道路照明管养现状。</w:t>
      </w:r>
    </w:p>
    <w:p>
      <w:pPr>
        <w:pStyle w:val="null3"/>
        <w:jc w:val="left"/>
      </w:pPr>
      <w:r>
        <w:rPr>
          <w:sz w:val="21"/>
        </w:rPr>
        <w:t>6.3</w:t>
      </w:r>
      <w:r>
        <w:rPr>
          <w:sz w:val="21"/>
        </w:rPr>
        <w:t>节能改造是乙方为实现节能目标的必要工作，托管服务费已包含乙方进行节能改造的成本和效益，甲方不再向乙方另行支付节能改造费用。合同履行期内乙方对技术成果进行更新升级的，甲方亦无需另行支付费用。</w:t>
      </w:r>
    </w:p>
    <w:p>
      <w:pPr>
        <w:pStyle w:val="null3"/>
        <w:jc w:val="left"/>
      </w:pPr>
      <w:r>
        <w:rPr>
          <w:sz w:val="21"/>
        </w:rPr>
        <w:t>6.4</w:t>
      </w:r>
      <w:r>
        <w:rPr>
          <w:sz w:val="21"/>
        </w:rPr>
        <w:t>甲方自行或委托第三方对项目节能改造进行全程监督，产生的费用由乙方承担。</w:t>
      </w:r>
    </w:p>
    <w:p>
      <w:pPr>
        <w:pStyle w:val="null3"/>
        <w:jc w:val="left"/>
      </w:pPr>
      <w:r>
        <w:rPr>
          <w:sz w:val="21"/>
          <w:b/>
        </w:rPr>
        <w:t>第七条管养维护</w:t>
      </w:r>
    </w:p>
    <w:p>
      <w:pPr>
        <w:pStyle w:val="null3"/>
        <w:jc w:val="left"/>
      </w:pPr>
      <w:r>
        <w:rPr>
          <w:sz w:val="21"/>
        </w:rPr>
        <w:t>7.1</w:t>
      </w:r>
      <w:r>
        <w:rPr>
          <w:sz w:val="21"/>
        </w:rPr>
        <w:t>乙方承担托管范围内城市照明设施管养维护工作。管养维护工作应达到如下标准：</w:t>
      </w:r>
    </w:p>
    <w:p>
      <w:pPr>
        <w:pStyle w:val="null3"/>
        <w:jc w:val="left"/>
      </w:pPr>
      <w:r>
        <w:rPr>
          <w:sz w:val="21"/>
        </w:rPr>
        <w:t>7.1.1</w:t>
      </w:r>
      <w:r>
        <w:rPr>
          <w:sz w:val="21"/>
        </w:rPr>
        <w:t>全夜灯亮灯时长每年应不少于</w:t>
      </w:r>
      <w:r>
        <w:rPr>
          <w:u w:val="single"/>
        </w:rPr>
        <w:t xml:space="preserve">        </w:t>
      </w:r>
      <w:r>
        <w:rPr>
          <w:sz w:val="21"/>
        </w:rPr>
        <w:t>小时。</w:t>
      </w:r>
    </w:p>
    <w:p>
      <w:pPr>
        <w:pStyle w:val="null3"/>
        <w:jc w:val="left"/>
      </w:pPr>
      <w:r>
        <w:rPr>
          <w:sz w:val="21"/>
        </w:rPr>
        <w:t>7.1.2</w:t>
      </w:r>
      <w:r>
        <w:rPr>
          <w:sz w:val="21"/>
        </w:rPr>
        <w:t>亮灯率不低于</w:t>
      </w:r>
      <w:r>
        <w:rPr>
          <w:sz w:val="21"/>
        </w:rPr>
        <w:t>97%</w:t>
      </w:r>
      <w:r>
        <w:rPr>
          <w:sz w:val="21"/>
        </w:rPr>
        <w:t>，设施完好率不低于</w:t>
      </w:r>
      <w:r>
        <w:rPr>
          <w:sz w:val="21"/>
        </w:rPr>
        <w:t>98%</w:t>
      </w:r>
      <w:r>
        <w:rPr>
          <w:sz w:val="21"/>
        </w:rPr>
        <w:t>，投诉件按时处置率不低于</w:t>
      </w:r>
      <w:r>
        <w:rPr>
          <w:sz w:val="21"/>
        </w:rPr>
        <w:t>100%</w:t>
      </w:r>
      <w:r>
        <w:rPr>
          <w:sz w:val="21"/>
        </w:rPr>
        <w:t>。</w:t>
      </w:r>
    </w:p>
    <w:p>
      <w:pPr>
        <w:pStyle w:val="null3"/>
        <w:jc w:val="left"/>
      </w:pPr>
      <w:r>
        <w:rPr>
          <w:sz w:val="21"/>
        </w:rPr>
        <w:t>7.1.3</w:t>
      </w:r>
      <w:r>
        <w:rPr>
          <w:sz w:val="21"/>
        </w:rPr>
        <w:t>保障城市照明设施正常运行、外观完整、干净整洁，对故障、破损的城市照明设施进行检修维护。在接到故障报修通知时，乙方应于</w:t>
      </w:r>
      <w:r>
        <w:rPr>
          <w:sz w:val="21"/>
        </w:rPr>
        <w:t>30</w:t>
      </w:r>
      <w:r>
        <w:rPr>
          <w:sz w:val="21"/>
        </w:rPr>
        <w:t>分钟内进行响应，并对故障原因进行分析，一般故障问题在</w:t>
      </w:r>
      <w:r>
        <w:rPr>
          <w:sz w:val="21"/>
        </w:rPr>
        <w:t>24</w:t>
      </w:r>
      <w:r>
        <w:rPr>
          <w:sz w:val="21"/>
        </w:rPr>
        <w:t>小时内解决，出现大面积灭灯情况应在</w:t>
      </w:r>
      <w:r>
        <w:rPr>
          <w:sz w:val="21"/>
        </w:rPr>
        <w:t>24</w:t>
      </w:r>
      <w:r>
        <w:rPr>
          <w:sz w:val="21"/>
        </w:rPr>
        <w:t>小时内组织应急抢修。</w:t>
      </w:r>
    </w:p>
    <w:p>
      <w:pPr>
        <w:pStyle w:val="null3"/>
        <w:jc w:val="left"/>
      </w:pPr>
      <w:r>
        <w:rPr>
          <w:sz w:val="21"/>
        </w:rPr>
        <w:t>7.1.4</w:t>
      </w:r>
      <w:r>
        <w:rPr>
          <w:sz w:val="21"/>
        </w:rPr>
        <w:t>当更换灯具实际使用中出现</w:t>
      </w:r>
      <w:r>
        <w:rPr>
          <w:u w:val="single"/>
        </w:rPr>
        <w:t xml:space="preserve">     </w:t>
      </w:r>
      <w:r>
        <w:rPr>
          <w:sz w:val="21"/>
        </w:rPr>
        <w:t>小时光通维持率小于</w:t>
      </w:r>
      <w:r>
        <w:rPr>
          <w:u w:val="single"/>
        </w:rPr>
        <w:t xml:space="preserve">    </w:t>
      </w:r>
      <w:r>
        <w:rPr>
          <w:sz w:val="21"/>
        </w:rPr>
        <w:t>%</w:t>
      </w:r>
      <w:r>
        <w:rPr>
          <w:sz w:val="21"/>
        </w:rPr>
        <w:t>，小时光通维持率小于</w:t>
      </w:r>
      <w:r>
        <w:rPr>
          <w:u w:val="single"/>
        </w:rPr>
        <w:t xml:space="preserve">     </w:t>
      </w:r>
      <w:r>
        <w:rPr>
          <w:sz w:val="21"/>
        </w:rPr>
        <w:t>%</w:t>
      </w:r>
      <w:r>
        <w:rPr>
          <w:sz w:val="21"/>
        </w:rPr>
        <w:t>（根据成交人的投标文件承诺内容确定）情形时，乙方无条件更换不达标灯具直至符合合同约定。</w:t>
      </w:r>
    </w:p>
    <w:p>
      <w:pPr>
        <w:pStyle w:val="null3"/>
        <w:jc w:val="left"/>
      </w:pPr>
      <w:r>
        <w:rPr>
          <w:sz w:val="21"/>
        </w:rPr>
        <w:t>7.1.5</w:t>
      </w:r>
      <w:r>
        <w:rPr>
          <w:sz w:val="21"/>
        </w:rPr>
        <w:t>合同履行期限内，保持城市照明设施主要技术指标（照度、均匀度等）达到</w:t>
      </w:r>
      <w:r>
        <w:rPr>
          <w:sz w:val="20"/>
        </w:rPr>
        <w:t>《城市道路照明设计标准》（</w:t>
      </w:r>
      <w:r>
        <w:rPr>
          <w:sz w:val="20"/>
        </w:rPr>
        <w:t>CJJ45-2015</w:t>
      </w:r>
      <w:r>
        <w:rPr>
          <w:sz w:val="20"/>
        </w:rPr>
        <w:t>）</w:t>
      </w:r>
      <w:r>
        <w:rPr>
          <w:sz w:val="21"/>
        </w:rPr>
        <w:t>要求的上限</w:t>
      </w:r>
      <w:r>
        <w:rPr>
          <w:sz w:val="20"/>
          <w:b/>
        </w:rPr>
        <w:t>且满足《古镇节能改造产品技术参数》的要求</w:t>
      </w:r>
      <w:r>
        <w:rPr>
          <w:sz w:val="21"/>
        </w:rPr>
        <w:t>。</w:t>
      </w:r>
    </w:p>
    <w:p>
      <w:pPr>
        <w:pStyle w:val="null3"/>
        <w:jc w:val="left"/>
      </w:pPr>
      <w:r>
        <w:rPr>
          <w:sz w:val="21"/>
        </w:rPr>
        <w:t>7.1.6</w:t>
      </w:r>
      <w:r>
        <w:rPr>
          <w:sz w:val="21"/>
        </w:rPr>
        <w:t>照明控制系统应保持正常稳定运行、数据安全、信息更新及时，（根据成交人的投标文件承诺内容确定）。</w:t>
      </w:r>
    </w:p>
    <w:p>
      <w:pPr>
        <w:pStyle w:val="null3"/>
        <w:jc w:val="left"/>
      </w:pPr>
      <w:r>
        <w:rPr>
          <w:sz w:val="21"/>
        </w:rPr>
        <w:t>7.1.7</w:t>
      </w:r>
      <w:r>
        <w:rPr>
          <w:sz w:val="21"/>
        </w:rPr>
        <w:t>配备设施设备、技术人员开展城市照明设施维护管养工作。关键技术岗位人员应按中标承诺配备相应的专业技术人员，原则上有关人员不允许随意更换，如有管理人员或关键技术岗位人员确需变动的，须提前</w:t>
      </w:r>
      <w:r>
        <w:rPr>
          <w:sz w:val="21"/>
        </w:rPr>
        <w:t>3</w:t>
      </w:r>
      <w:r>
        <w:rPr>
          <w:sz w:val="21"/>
        </w:rPr>
        <w:t>个月通知甲方，并按要求重新配备。</w:t>
      </w:r>
    </w:p>
    <w:p>
      <w:pPr>
        <w:pStyle w:val="null3"/>
        <w:jc w:val="left"/>
      </w:pPr>
      <w:r>
        <w:rPr>
          <w:sz w:val="21"/>
        </w:rPr>
        <w:t>7.1.8</w:t>
      </w:r>
      <w:r>
        <w:rPr>
          <w:sz w:val="21"/>
        </w:rPr>
        <w:t>托管期限内，托管区域内的路灯系统的经营（不含任何商业行为）及管理权归乙方，由乙方自主经营，自负盈亏。</w:t>
      </w:r>
    </w:p>
    <w:p>
      <w:pPr>
        <w:pStyle w:val="null3"/>
        <w:jc w:val="left"/>
      </w:pPr>
      <w:r>
        <w:rPr>
          <w:sz w:val="21"/>
        </w:rPr>
        <w:t>7.1.9</w:t>
      </w:r>
      <w:r>
        <w:rPr>
          <w:sz w:val="21"/>
        </w:rPr>
        <w:t>托管的设备及设施的维护、保养由乙方负责。</w:t>
      </w:r>
    </w:p>
    <w:p>
      <w:pPr>
        <w:pStyle w:val="null3"/>
        <w:jc w:val="left"/>
      </w:pPr>
      <w:r>
        <w:rPr>
          <w:sz w:val="21"/>
        </w:rPr>
        <w:t>7.1.10</w:t>
      </w:r>
      <w:r>
        <w:rPr>
          <w:sz w:val="21"/>
        </w:rPr>
        <w:t>乙方应有专门的人员负责托管事宜，建立专业管理团队提供服务。乙方管理团队成员应当统一着装挂牌上岗，管理团队成员名册、相应的资质资格证书应提交甲方备案。</w:t>
      </w:r>
    </w:p>
    <w:p>
      <w:pPr>
        <w:pStyle w:val="null3"/>
        <w:jc w:val="left"/>
      </w:pPr>
      <w:r>
        <w:rPr>
          <w:sz w:val="21"/>
        </w:rPr>
        <w:t>7.1.11</w:t>
      </w:r>
      <w:r>
        <w:rPr>
          <w:sz w:val="21"/>
        </w:rPr>
        <w:t>乙方应制定应急管理预案。遇到恶劣自然天气，如强降雨、冰冻、大雪等情况，应第一时间安排工作人员到现场进行巡查，排除安全隐患，并向甲方进行通报。</w:t>
      </w:r>
    </w:p>
    <w:p>
      <w:pPr>
        <w:pStyle w:val="null3"/>
        <w:jc w:val="left"/>
      </w:pPr>
      <w:r>
        <w:rPr>
          <w:sz w:val="21"/>
        </w:rPr>
        <w:t>7.1.12</w:t>
      </w:r>
      <w:r>
        <w:rPr>
          <w:sz w:val="21"/>
        </w:rPr>
        <w:t>完成甲方安排指派的与城市照明设施节能改造运行维护相关的其他工作。</w:t>
      </w:r>
    </w:p>
    <w:p>
      <w:pPr>
        <w:pStyle w:val="null3"/>
        <w:jc w:val="left"/>
      </w:pPr>
      <w:r>
        <w:rPr>
          <w:sz w:val="21"/>
        </w:rPr>
        <w:t>7.1.13</w:t>
      </w:r>
      <w:r>
        <w:rPr>
          <w:sz w:val="21"/>
        </w:rPr>
        <w:t>具体管养维护及其他要求详见附件四《古镇节能改造产品技术参数》。</w:t>
      </w:r>
    </w:p>
    <w:p>
      <w:pPr>
        <w:pStyle w:val="null3"/>
        <w:jc w:val="left"/>
      </w:pPr>
      <w:r>
        <w:rPr>
          <w:sz w:val="21"/>
        </w:rPr>
        <w:t>7.2</w:t>
      </w:r>
      <w:r>
        <w:rPr>
          <w:sz w:val="21"/>
        </w:rPr>
        <w:t>甲方拟按定期绩效考核与临时绩效考核相结合的方式开展绩效考核，并根据绩效考核结果扣减托管服务费。《项目绩效考核方案》详见“附件五”。</w:t>
      </w:r>
    </w:p>
    <w:p>
      <w:pPr>
        <w:pStyle w:val="null3"/>
        <w:jc w:val="left"/>
      </w:pPr>
      <w:r>
        <w:rPr>
          <w:sz w:val="21"/>
          <w:b/>
        </w:rPr>
        <w:t>第八条电费缴纳</w:t>
      </w:r>
    </w:p>
    <w:p>
      <w:pPr>
        <w:pStyle w:val="null3"/>
        <w:jc w:val="left"/>
      </w:pPr>
      <w:r>
        <w:rPr>
          <w:sz w:val="21"/>
        </w:rPr>
        <w:t>8.1</w:t>
      </w:r>
      <w:r>
        <w:rPr>
          <w:sz w:val="21"/>
        </w:rPr>
        <w:t>乙方为托管范围内的城市照明设施（含路灯设施、景观照明设施）和搭接在城市照明设施上的非照明用电设施按时足额缴纳电费，年用电量达到（按成交人的投标文件承诺内容确定）。</w:t>
      </w:r>
    </w:p>
    <w:p>
      <w:pPr>
        <w:pStyle w:val="null3"/>
        <w:jc w:val="left"/>
      </w:pPr>
      <w:r>
        <w:rPr>
          <w:sz w:val="21"/>
        </w:rPr>
        <w:t>8.2</w:t>
      </w:r>
      <w:r>
        <w:rPr>
          <w:sz w:val="21"/>
        </w:rPr>
        <w:t>乙方为托管范围内路灯设施按时足额缴纳电费，改造后路灯设施年度总用电量不应低于</w:t>
      </w:r>
      <w:r>
        <w:rPr>
          <w:u w:val="single"/>
        </w:rPr>
        <w:t xml:space="preserve">      </w:t>
      </w:r>
      <w:r>
        <w:rPr>
          <w:sz w:val="21"/>
        </w:rPr>
        <w:t>万千瓦时（含本数，成交人的投标文件承诺用电量）。在满足甲方开关灯要求的前提下，年度总用电量若超过</w:t>
      </w:r>
      <w:r>
        <w:rPr>
          <w:u w:val="single"/>
        </w:rPr>
        <w:t xml:space="preserve">     </w:t>
      </w:r>
      <w:r>
        <w:rPr>
          <w:sz w:val="21"/>
        </w:rPr>
        <w:t>万千瓦时的，超出部分单独核算；若未达到</w:t>
      </w:r>
      <w:r>
        <w:rPr>
          <w:u w:val="single"/>
        </w:rPr>
        <w:t xml:space="preserve">      </w:t>
      </w:r>
      <w:r>
        <w:rPr>
          <w:sz w:val="21"/>
        </w:rPr>
        <w:t>万千瓦时的，未达标费用用于经甲方认可的本项目范围内的城市照明设施的管养维护。</w:t>
      </w:r>
    </w:p>
    <w:p>
      <w:pPr>
        <w:pStyle w:val="null3"/>
        <w:jc w:val="left"/>
      </w:pPr>
      <w:r>
        <w:rPr>
          <w:sz w:val="21"/>
        </w:rPr>
        <w:t>8.3</w:t>
      </w:r>
      <w:r>
        <w:rPr>
          <w:sz w:val="21"/>
        </w:rPr>
        <w:t>乙方为托管范围内景观照明设施足额及时缴纳电费，在满足甲方开关灯要求的前提下，年度总用电量不应低于</w:t>
      </w:r>
      <w:r>
        <w:rPr>
          <w:u w:val="single"/>
        </w:rPr>
        <w:t xml:space="preserve">       </w:t>
      </w:r>
      <w:r>
        <w:rPr>
          <w:sz w:val="21"/>
        </w:rPr>
        <w:t>万千瓦时（含本数，成交人的投标文件承诺用电量）。在满足甲方开关灯要求的前提下，年度总用电量若超过万千瓦时的，超出部分单独核算；若未达到</w:t>
      </w:r>
      <w:r>
        <w:rPr>
          <w:u w:val="single"/>
        </w:rPr>
        <w:t xml:space="preserve">      </w:t>
      </w:r>
      <w:r>
        <w:rPr>
          <w:sz w:val="21"/>
        </w:rPr>
        <w:t>万千瓦时的，未达标费用用于经甲方认可的本项目范围内的城市照明设施的管养维护。</w:t>
      </w:r>
    </w:p>
    <w:p>
      <w:pPr>
        <w:pStyle w:val="null3"/>
        <w:jc w:val="left"/>
      </w:pPr>
      <w:r>
        <w:rPr>
          <w:sz w:val="21"/>
        </w:rPr>
        <w:t>8.4</w:t>
      </w:r>
      <w:r>
        <w:rPr>
          <w:sz w:val="21"/>
        </w:rPr>
        <w:t>以合同签订日为节点，乙方对于已经形成的非照明用电设施搭接情况（用电量不超过万千瓦时每年）按现状接收，并承担相应电费。同时，接管后应在半年时间内详细清查非照明用电设施搭接情况，在后续改造过程中分别加装计量装置，实现用电主体独立计量，明确安全责任分界点。经甲乙双方认定后超过</w:t>
      </w:r>
      <w:r>
        <w:rPr>
          <w:u w:val="single"/>
        </w:rPr>
        <w:t xml:space="preserve">        </w:t>
      </w:r>
      <w:r>
        <w:rPr>
          <w:sz w:val="21"/>
        </w:rPr>
        <w:t>万千瓦时的，超过部分由甲方追加费用。合同签订后确需新增用电设施搭接的，实行独立计量并由搭接主体自行缴纳电费，相关费用不包含在托管服务费用内。</w:t>
      </w:r>
    </w:p>
    <w:p>
      <w:pPr>
        <w:pStyle w:val="null3"/>
        <w:jc w:val="left"/>
      </w:pPr>
      <w:r>
        <w:rPr>
          <w:sz w:val="21"/>
        </w:rPr>
        <w:t>8.5</w:t>
      </w:r>
      <w:r>
        <w:rPr>
          <w:sz w:val="21"/>
        </w:rPr>
        <w:t>乙方应配合供电部门做好用电检查、用电安全、抄表收费等工作。</w:t>
      </w:r>
    </w:p>
    <w:p>
      <w:pPr>
        <w:pStyle w:val="null3"/>
        <w:jc w:val="left"/>
      </w:pPr>
      <w:r>
        <w:rPr>
          <w:sz w:val="21"/>
        </w:rPr>
        <w:t>8.6</w:t>
      </w:r>
      <w:r>
        <w:rPr>
          <w:sz w:val="21"/>
        </w:rPr>
        <w:t>城市照明设施用电功率如发生增减变化，乙方应及时报送甲方核定。</w:t>
      </w:r>
    </w:p>
    <w:p>
      <w:pPr>
        <w:pStyle w:val="null3"/>
        <w:jc w:val="left"/>
      </w:pPr>
      <w:r>
        <w:rPr>
          <w:sz w:val="21"/>
        </w:rPr>
        <w:t>8.7</w:t>
      </w:r>
      <w:r>
        <w:rPr>
          <w:sz w:val="21"/>
        </w:rPr>
        <w:t>新增城市照明设施专用变压器或用电计量装置过户的，乙方应配合甲方同步办理，确保电费正常缴纳。</w:t>
      </w:r>
    </w:p>
    <w:p>
      <w:pPr>
        <w:pStyle w:val="null3"/>
        <w:jc w:val="left"/>
      </w:pPr>
      <w:r>
        <w:rPr>
          <w:sz w:val="21"/>
        </w:rPr>
        <w:t>8.8</w:t>
      </w:r>
      <w:r>
        <w:rPr>
          <w:sz w:val="21"/>
        </w:rPr>
        <w:t>乙方每个月中旬向甲方报送上月电费缴纳情况；次年二月报送上年度电费缴纳汇总情况；每个季度的次月报送上季度市场化交易购电电量、电价情况。</w:t>
      </w:r>
    </w:p>
    <w:p>
      <w:pPr>
        <w:pStyle w:val="null3"/>
        <w:jc w:val="left"/>
      </w:pPr>
      <w:r>
        <w:rPr>
          <w:sz w:val="21"/>
        </w:rPr>
        <w:t>8.9</w:t>
      </w:r>
      <w:r>
        <w:rPr>
          <w:sz w:val="21"/>
        </w:rPr>
        <w:t>乙方对一户多表用电户号必须按照结算号进行缴纳；对合缴用电户号必须分别计算缴纳，避免发生电费多缴或错缴。</w:t>
      </w:r>
    </w:p>
    <w:p>
      <w:pPr>
        <w:pStyle w:val="null3"/>
        <w:jc w:val="left"/>
      </w:pPr>
      <w:r>
        <w:rPr>
          <w:sz w:val="21"/>
        </w:rPr>
        <w:t>8.10</w:t>
      </w:r>
      <w:r>
        <w:rPr>
          <w:sz w:val="21"/>
        </w:rPr>
        <w:t>乙方应对每个月电费缴纳清单进行对比，如发现用电户号缴费异常，应及时向古镇供电局和甲方进行反馈。</w:t>
      </w:r>
    </w:p>
    <w:p>
      <w:pPr>
        <w:pStyle w:val="null3"/>
        <w:jc w:val="left"/>
      </w:pPr>
      <w:r>
        <w:rPr>
          <w:sz w:val="21"/>
        </w:rPr>
        <w:t>8.11</w:t>
      </w:r>
      <w:r>
        <w:rPr>
          <w:sz w:val="21"/>
        </w:rPr>
        <w:t>关于交接期和节能改造期电费的特别约定：</w:t>
      </w:r>
      <w:r>
        <w:rPr>
          <w:u w:val="single"/>
        </w:rPr>
        <w:t xml:space="preserve">     </w:t>
      </w:r>
      <w:r>
        <w:rPr>
          <w:sz w:val="21"/>
        </w:rPr>
        <w:t>年</w:t>
      </w:r>
      <w:r>
        <w:rPr>
          <w:u w:val="single"/>
        </w:rPr>
        <w:t xml:space="preserve">    </w:t>
      </w:r>
      <w:r>
        <w:rPr>
          <w:sz w:val="21"/>
        </w:rPr>
        <w:t>月</w:t>
      </w:r>
      <w:r>
        <w:rPr>
          <w:u w:val="single"/>
        </w:rPr>
        <w:t xml:space="preserve">    </w:t>
      </w:r>
      <w:r>
        <w:rPr>
          <w:sz w:val="21"/>
        </w:rPr>
        <w:t>日至</w:t>
      </w:r>
      <w:r>
        <w:rPr>
          <w:u w:val="single"/>
        </w:rPr>
        <w:t xml:space="preserve">     </w:t>
      </w:r>
      <w:r>
        <w:rPr>
          <w:sz w:val="21"/>
        </w:rPr>
        <w:t>年</w:t>
      </w:r>
      <w:r>
        <w:rPr>
          <w:u w:val="single"/>
        </w:rPr>
        <w:t xml:space="preserve">   </w:t>
      </w:r>
      <w:r>
        <w:rPr>
          <w:sz w:val="21"/>
        </w:rPr>
        <w:t>月</w:t>
      </w:r>
      <w:r>
        <w:rPr>
          <w:u w:val="single"/>
        </w:rPr>
        <w:t xml:space="preserve">   </w:t>
      </w:r>
      <w:r>
        <w:rPr>
          <w:sz w:val="21"/>
        </w:rPr>
        <w:t>日期间，本项目约定托管的城市照明设施的电费由乙方负责向供电部门据实缴纳。该期间内，甲方将与第三方签订的市场化购电协议约定的权利义务概括转移给乙方，由乙方承接甲方继续履行市场化购电协议约定。自</w:t>
      </w:r>
      <w:r>
        <w:rPr>
          <w:sz w:val="21"/>
          <w:u w:val="single"/>
        </w:rPr>
        <w:t>2025</w:t>
      </w:r>
      <w:r>
        <w:rPr>
          <w:sz w:val="21"/>
        </w:rPr>
        <w:t>年</w:t>
      </w:r>
      <w:r>
        <w:rPr>
          <w:u w:val="single"/>
        </w:rPr>
        <w:t xml:space="preserve">   </w:t>
      </w:r>
      <w:r>
        <w:rPr>
          <w:sz w:val="21"/>
        </w:rPr>
        <w:t>月</w:t>
      </w:r>
      <w:r>
        <w:rPr>
          <w:u w:val="single"/>
        </w:rPr>
        <w:t xml:space="preserve">   </w:t>
      </w:r>
      <w:r>
        <w:rPr>
          <w:sz w:val="21"/>
        </w:rPr>
        <w:t>日起，乙方根据托管项目实际需要自行安排购电事宜。</w:t>
      </w:r>
    </w:p>
    <w:p>
      <w:pPr>
        <w:pStyle w:val="null3"/>
        <w:jc w:val="left"/>
      </w:pPr>
      <w:r>
        <w:rPr>
          <w:sz w:val="21"/>
          <w:b/>
        </w:rPr>
        <w:t>第九条履约担保及保险投保</w:t>
      </w:r>
    </w:p>
    <w:p>
      <w:pPr>
        <w:pStyle w:val="null3"/>
        <w:jc w:val="left"/>
      </w:pPr>
      <w:r>
        <w:rPr>
          <w:sz w:val="21"/>
        </w:rPr>
        <w:t>9.1</w:t>
      </w:r>
      <w:r>
        <w:rPr>
          <w:sz w:val="21"/>
        </w:rPr>
        <w:t>本协议签订时，乙方应向甲方提交支票、汇票、本票或者金融机构、担保机构出具的保函等非现金形式作为履约担保，履约担保金额为：年度托管服务费用的</w:t>
      </w:r>
      <w:r>
        <w:rPr>
          <w:sz w:val="21"/>
        </w:rPr>
        <w:t>10%</w:t>
      </w:r>
      <w:r>
        <w:rPr>
          <w:sz w:val="21"/>
        </w:rPr>
        <w:t>。履约担保期限为自</w:t>
      </w:r>
      <w:r>
        <w:rPr>
          <w:u w:val="single"/>
        </w:rPr>
        <w:t xml:space="preserve">        </w:t>
      </w:r>
      <w:r>
        <w:rPr>
          <w:sz w:val="21"/>
        </w:rPr>
        <w:t>之日起至</w:t>
      </w:r>
      <w:r>
        <w:rPr>
          <w:u w:val="single"/>
        </w:rPr>
        <w:t xml:space="preserve">        </w:t>
      </w:r>
      <w:r>
        <w:rPr>
          <w:sz w:val="21"/>
        </w:rPr>
        <w:t>之日止。履约担保需持续、有效，且担保期限内金额不得减持。托管周期届满、托管服务质量满足约定要求的，甲方退还给乙方。</w:t>
      </w:r>
    </w:p>
    <w:p>
      <w:pPr>
        <w:pStyle w:val="null3"/>
        <w:jc w:val="left"/>
      </w:pPr>
      <w:r>
        <w:rPr>
          <w:sz w:val="21"/>
        </w:rPr>
        <w:t>9.2</w:t>
      </w:r>
      <w:r>
        <w:rPr>
          <w:sz w:val="21"/>
        </w:rPr>
        <w:t>保险投保约定：乙方或乙方项目公司应为项目投保公众责任险等保险，保险费由乙方承担，保险金额应足以保障本项目可能出现的人身财产损失赔偿责任。如乙方出现未投保或脱保情形的，不免除乙方的安全管理责任和人身财产损失赔偿责任。</w:t>
      </w:r>
    </w:p>
    <w:p>
      <w:pPr>
        <w:pStyle w:val="null3"/>
        <w:jc w:val="left"/>
      </w:pPr>
      <w:r>
        <w:rPr>
          <w:sz w:val="21"/>
          <w:b/>
        </w:rPr>
        <w:t>第十条原管养主体人员安置和办公场地、车辆、设备使用</w:t>
      </w:r>
    </w:p>
    <w:p>
      <w:pPr>
        <w:pStyle w:val="null3"/>
        <w:jc w:val="left"/>
      </w:pPr>
      <w:r>
        <w:rPr>
          <w:sz w:val="21"/>
        </w:rPr>
        <w:t>10.1</w:t>
      </w:r>
      <w:r>
        <w:rPr>
          <w:sz w:val="21"/>
        </w:rPr>
        <w:t>为保障城市照明综合管养工作的有效衔接，对于原管养主体聘用的工作人员，按照自愿及双向选择的原则，乙方在同等条件下应优先使用。</w:t>
      </w:r>
    </w:p>
    <w:p>
      <w:pPr>
        <w:pStyle w:val="null3"/>
        <w:jc w:val="left"/>
      </w:pPr>
      <w:r>
        <w:rPr>
          <w:sz w:val="21"/>
        </w:rPr>
        <w:t>10.2</w:t>
      </w:r>
      <w:r>
        <w:rPr>
          <w:sz w:val="21"/>
        </w:rPr>
        <w:t>甲方位于中山市古镇镇东兴东路政府第二办公区</w:t>
      </w:r>
      <w:r>
        <w:rPr>
          <w:sz w:val="21"/>
        </w:rPr>
        <w:t>3</w:t>
      </w:r>
      <w:r>
        <w:rPr>
          <w:sz w:val="21"/>
        </w:rPr>
        <w:t>号楼</w:t>
      </w:r>
      <w:r>
        <w:rPr>
          <w:sz w:val="21"/>
        </w:rPr>
        <w:t>5</w:t>
      </w:r>
      <w:r>
        <w:rPr>
          <w:sz w:val="21"/>
        </w:rPr>
        <w:t>层</w:t>
      </w:r>
      <w:r>
        <w:rPr>
          <w:sz w:val="21"/>
        </w:rPr>
        <w:t>-6</w:t>
      </w:r>
      <w:r>
        <w:rPr>
          <w:sz w:val="21"/>
        </w:rPr>
        <w:t>层等办公场地、</w:t>
      </w:r>
      <w:r>
        <w:rPr>
          <w:sz w:val="21"/>
        </w:rPr>
        <w:t>18</w:t>
      </w:r>
      <w:r>
        <w:rPr>
          <w:sz w:val="21"/>
        </w:rPr>
        <w:t>米作业车辆以及办公设备等按照国有资产管理有关规定出租给乙方使用。双方对租金标准、租赁期限等具体内容另行签订租赁合同进行约定。</w:t>
      </w:r>
    </w:p>
    <w:p>
      <w:pPr>
        <w:pStyle w:val="null3"/>
        <w:jc w:val="left"/>
      </w:pPr>
      <w:r>
        <w:rPr>
          <w:sz w:val="21"/>
          <w:b/>
        </w:rPr>
        <w:t>第十一条托管服务费用的标准及支付</w:t>
      </w:r>
    </w:p>
    <w:p>
      <w:pPr>
        <w:pStyle w:val="null3"/>
        <w:jc w:val="left"/>
      </w:pPr>
      <w:r>
        <w:rPr>
          <w:sz w:val="21"/>
        </w:rPr>
        <w:t>11.1</w:t>
      </w:r>
      <w:r>
        <w:rPr>
          <w:sz w:val="21"/>
        </w:rPr>
        <w:t>托管服务费用包括城市照明设施节能改造费、运行电费、管养维护费（含人工费、材料费、照明设施控制系统通讯费等）、设施被盗被损恢复费、供电抢修、意外事件导致人身财产损失赔偿、保险费、税费等全部费用。托管服务费以年度为单位进行核算，首年（</w:t>
      </w:r>
      <w:r>
        <w:rPr>
          <w:u w:val="single"/>
        </w:rPr>
        <w:t xml:space="preserve">     </w:t>
      </w:r>
      <w:r>
        <w:rPr>
          <w:sz w:val="21"/>
        </w:rPr>
        <w:t>年）年度托管服务费用为</w:t>
      </w:r>
      <w:r>
        <w:rPr>
          <w:u w:val="single"/>
        </w:rPr>
        <w:t xml:space="preserve">        </w:t>
      </w:r>
      <w:r>
        <w:rPr>
          <w:sz w:val="21"/>
        </w:rPr>
        <w:t>万元。出现合同约定调价情形的，托管服务费用相应增减。</w:t>
      </w:r>
    </w:p>
    <w:p>
      <w:pPr>
        <w:pStyle w:val="null3"/>
        <w:jc w:val="left"/>
      </w:pPr>
      <w:r>
        <w:rPr>
          <w:sz w:val="21"/>
        </w:rPr>
        <w:t>11.2</w:t>
      </w:r>
      <w:r>
        <w:rPr>
          <w:sz w:val="21"/>
        </w:rPr>
        <w:t>托管服务费用的支付：托管服务费用按月支付：乙方先行缴纳电费及开展管养维护工作，甲方对乙方的运行维护工作按月进行考核，根据考核结果向乙方支付上月度托管服务费用。</w:t>
      </w:r>
    </w:p>
    <w:p>
      <w:pPr>
        <w:pStyle w:val="null3"/>
        <w:jc w:val="left"/>
      </w:pPr>
      <w:r>
        <w:rPr>
          <w:sz w:val="21"/>
        </w:rPr>
        <w:t>11.3</w:t>
      </w:r>
      <w:r>
        <w:rPr>
          <w:sz w:val="21"/>
        </w:rPr>
        <w:t>自本合同生效之日起，甲方按合同约定标准及结算方式向乙方支付托管服务费用。</w:t>
      </w:r>
    </w:p>
    <w:p>
      <w:pPr>
        <w:pStyle w:val="null3"/>
        <w:jc w:val="left"/>
      </w:pPr>
      <w:r>
        <w:rPr>
          <w:sz w:val="21"/>
        </w:rPr>
        <w:t>11.4</w:t>
      </w:r>
      <w:r>
        <w:rPr>
          <w:sz w:val="21"/>
        </w:rPr>
        <w:t>托管服务费用由乙方包干使用，乙方通过科学有效的管理运营节约能源费用作为合理利润。</w:t>
      </w:r>
    </w:p>
    <w:p>
      <w:pPr>
        <w:pStyle w:val="null3"/>
        <w:jc w:val="left"/>
      </w:pPr>
      <w:r>
        <w:rPr>
          <w:sz w:val="21"/>
        </w:rPr>
        <w:t>11.5</w:t>
      </w:r>
      <w:r>
        <w:rPr>
          <w:sz w:val="21"/>
        </w:rPr>
        <w:t>托管服务费包含最高限额为</w:t>
      </w:r>
      <w:r>
        <w:rPr>
          <w:u w:val="single"/>
        </w:rPr>
        <w:t xml:space="preserve">     </w:t>
      </w:r>
      <w:r>
        <w:rPr>
          <w:sz w:val="21"/>
        </w:rPr>
        <w:t>万元（含本数）的照明设施被盗被损及不可抗力产生的修复费用。出现该情形不超过</w:t>
      </w:r>
      <w:r>
        <w:rPr>
          <w:u w:val="single"/>
        </w:rPr>
        <w:t xml:space="preserve">      </w:t>
      </w:r>
      <w:r>
        <w:rPr>
          <w:sz w:val="21"/>
        </w:rPr>
        <w:t>万元（含本数）的，甲方不再向乙方支付；如超出</w:t>
      </w:r>
      <w:r>
        <w:rPr>
          <w:u w:val="single"/>
        </w:rPr>
        <w:t xml:space="preserve">    </w:t>
      </w:r>
      <w:r>
        <w:rPr>
          <w:sz w:val="21"/>
        </w:rPr>
        <w:t>万元的，对于超出部分甲、乙双方按照各承担</w:t>
      </w:r>
      <w:r>
        <w:rPr>
          <w:sz w:val="21"/>
        </w:rPr>
        <w:t>50%</w:t>
      </w:r>
      <w:r>
        <w:rPr>
          <w:sz w:val="21"/>
        </w:rPr>
        <w:t>的比例进行分摊。同时，被盗被损照明设施的价值、修复价格由甲方委托的第三方评估机构评估认定。（限额按成交人的投标文件承诺内容完善）</w:t>
      </w:r>
    </w:p>
    <w:p>
      <w:pPr>
        <w:pStyle w:val="null3"/>
        <w:jc w:val="left"/>
      </w:pPr>
      <w:r>
        <w:rPr>
          <w:sz w:val="21"/>
        </w:rPr>
        <w:t>11.6</w:t>
      </w:r>
      <w:r>
        <w:rPr>
          <w:sz w:val="21"/>
        </w:rPr>
        <w:t>合同履行过程中，涉及照明设施迁改的，费用由迁改申请方承担，迁改费用按市政工程定额及随行就市原则确定。</w:t>
      </w:r>
    </w:p>
    <w:p>
      <w:pPr>
        <w:pStyle w:val="null3"/>
        <w:jc w:val="left"/>
      </w:pPr>
      <w:r>
        <w:rPr>
          <w:sz w:val="21"/>
          <w:b/>
        </w:rPr>
        <w:t>第十二条能源基准调整和托管服务费调价</w:t>
      </w:r>
    </w:p>
    <w:p>
      <w:pPr>
        <w:pStyle w:val="null3"/>
        <w:jc w:val="left"/>
      </w:pPr>
      <w:r>
        <w:rPr>
          <w:sz w:val="21"/>
        </w:rPr>
        <w:t>12.1</w:t>
      </w:r>
      <w:r>
        <w:rPr>
          <w:sz w:val="21"/>
        </w:rPr>
        <w:t>能源基准调整：能源基准为</w:t>
      </w:r>
      <w:r>
        <w:rPr>
          <w:u w:val="single"/>
        </w:rPr>
        <w:t xml:space="preserve">      </w:t>
      </w:r>
      <w:r>
        <w:rPr>
          <w:sz w:val="21"/>
        </w:rPr>
        <w:t>万千瓦，包括路灯总功率</w:t>
      </w:r>
      <w:r>
        <w:rPr>
          <w:u w:val="single"/>
        </w:rPr>
        <w:t xml:space="preserve">     </w:t>
      </w:r>
      <w:r>
        <w:rPr>
          <w:sz w:val="21"/>
        </w:rPr>
        <w:t>万千瓦、主城区</w:t>
      </w:r>
      <w:r>
        <w:rPr>
          <w:sz w:val="21"/>
        </w:rPr>
        <w:t>“有路无灯，有灯不亮”整治工作中即将移交的路灯功率</w:t>
      </w:r>
      <w:r>
        <w:rPr>
          <w:u w:val="single"/>
        </w:rPr>
        <w:t xml:space="preserve">     </w:t>
      </w:r>
      <w:r>
        <w:rPr>
          <w:sz w:val="21"/>
        </w:rPr>
        <w:t>万千瓦、新增路灯功率预留量万千瓦。新增路灯设施功率未超过预留量（含本数）的，能源基准不作调整；超过预留量的，能源基准进行调整。</w:t>
      </w:r>
    </w:p>
    <w:p>
      <w:pPr>
        <w:pStyle w:val="null3"/>
        <w:jc w:val="left"/>
      </w:pPr>
      <w:r>
        <w:rPr>
          <w:sz w:val="21"/>
        </w:rPr>
        <w:t>12.2</w:t>
      </w:r>
      <w:r>
        <w:rPr>
          <w:sz w:val="21"/>
        </w:rPr>
        <w:t>托管服务费调价：</w:t>
      </w:r>
    </w:p>
    <w:p>
      <w:pPr>
        <w:pStyle w:val="null3"/>
        <w:jc w:val="left"/>
      </w:pPr>
      <w:r>
        <w:rPr>
          <w:sz w:val="21"/>
        </w:rPr>
        <w:t>12.2.1</w:t>
      </w:r>
      <w:r>
        <w:rPr>
          <w:sz w:val="21"/>
        </w:rPr>
        <w:t>能源基准调整的，托管服务费相应进行调价。超过预留量的新增路灯设施管养维护费按甲、乙双方确定的数量乘以（根据成交人的投标文件承诺内容确定）元进行核算，超过预留量的新增路灯设施电费根据实际发生金额核算。</w:t>
      </w:r>
    </w:p>
    <w:p>
      <w:pPr>
        <w:pStyle w:val="null3"/>
        <w:jc w:val="left"/>
      </w:pPr>
      <w:r>
        <w:rPr>
          <w:sz w:val="21"/>
          <w:b/>
        </w:rPr>
        <w:t>第十三条托管项目移交事项</w:t>
      </w:r>
    </w:p>
    <w:p>
      <w:pPr>
        <w:pStyle w:val="null3"/>
        <w:jc w:val="left"/>
      </w:pPr>
      <w:r>
        <w:rPr>
          <w:sz w:val="21"/>
        </w:rPr>
        <w:t>13.1</w:t>
      </w:r>
      <w:r>
        <w:rPr>
          <w:sz w:val="21"/>
        </w:rPr>
        <w:t>合同生效时的移交：</w:t>
      </w:r>
    </w:p>
    <w:p>
      <w:pPr>
        <w:pStyle w:val="null3"/>
        <w:jc w:val="left"/>
      </w:pPr>
      <w:r>
        <w:rPr>
          <w:sz w:val="21"/>
        </w:rPr>
        <w:t>13.1.1</w:t>
      </w:r>
      <w:r>
        <w:rPr>
          <w:sz w:val="21"/>
        </w:rPr>
        <w:t>甲、乙方与原管养维护主体配合开展完成城市照明设施清点移交工作、维护管养移交工作，对移交的设施、设备、场地、财产等资产数量及现状进行清点核实并形成移交清单。</w:t>
      </w:r>
    </w:p>
    <w:p>
      <w:pPr>
        <w:pStyle w:val="null3"/>
        <w:jc w:val="left"/>
      </w:pPr>
      <w:r>
        <w:rPr>
          <w:sz w:val="21"/>
        </w:rPr>
        <w:t>13.1.2</w:t>
      </w:r>
      <w:r>
        <w:rPr>
          <w:sz w:val="21"/>
        </w:rPr>
        <w:t>以合同签订日为时点，乙方对已搭接的非照明用电设施按现状接收。乙方不得擅自增加用电负荷，不得自行引入（或接入）任何设备设施、标识等。</w:t>
      </w:r>
    </w:p>
    <w:p>
      <w:pPr>
        <w:pStyle w:val="null3"/>
        <w:jc w:val="left"/>
      </w:pPr>
      <w:r>
        <w:rPr>
          <w:sz w:val="21"/>
        </w:rPr>
        <w:t>13.2</w:t>
      </w:r>
      <w:r>
        <w:rPr>
          <w:sz w:val="21"/>
        </w:rPr>
        <w:t>合同履行过程中的移交：</w:t>
      </w:r>
    </w:p>
    <w:p>
      <w:pPr>
        <w:pStyle w:val="null3"/>
        <w:jc w:val="left"/>
      </w:pPr>
      <w:r>
        <w:rPr>
          <w:sz w:val="21"/>
        </w:rPr>
        <w:t>13.2.1</w:t>
      </w:r>
      <w:r>
        <w:rPr>
          <w:sz w:val="21"/>
        </w:rPr>
        <w:t>甲方向乙方移交新增照明设施的，甲、乙方应共同进行清点确认，费用按照本合同第十二条、第十三条约定认定。</w:t>
      </w:r>
    </w:p>
    <w:p>
      <w:pPr>
        <w:pStyle w:val="null3"/>
        <w:jc w:val="left"/>
      </w:pPr>
      <w:r>
        <w:rPr>
          <w:sz w:val="21"/>
        </w:rPr>
        <w:t>13.2.2</w:t>
      </w:r>
      <w:r>
        <w:rPr>
          <w:sz w:val="21"/>
        </w:rPr>
        <w:t>甲方向乙方移交新增照明设施的，乙方应在甲方提出移交要求后</w:t>
      </w:r>
      <w:r>
        <w:rPr>
          <w:sz w:val="21"/>
        </w:rPr>
        <w:t>30</w:t>
      </w:r>
      <w:r>
        <w:rPr>
          <w:sz w:val="21"/>
        </w:rPr>
        <w:t>日内清点接收，不得以任何理由拒绝、推诿、迟延接收。</w:t>
      </w:r>
    </w:p>
    <w:p>
      <w:pPr>
        <w:pStyle w:val="null3"/>
        <w:jc w:val="left"/>
      </w:pPr>
      <w:r>
        <w:rPr>
          <w:sz w:val="21"/>
        </w:rPr>
        <w:t>13.2.3</w:t>
      </w:r>
      <w:r>
        <w:rPr>
          <w:sz w:val="21"/>
        </w:rPr>
        <w:t>乙方不得擅自拆除、迁移、迁改照明设施，应经甲方同意后实施。照明设施拆除、迁移、迁改应符合相关行政管理要求。</w:t>
      </w:r>
    </w:p>
    <w:p>
      <w:pPr>
        <w:pStyle w:val="null3"/>
        <w:jc w:val="left"/>
      </w:pPr>
      <w:r>
        <w:rPr>
          <w:sz w:val="21"/>
        </w:rPr>
        <w:t>13.3</w:t>
      </w:r>
      <w:r>
        <w:rPr>
          <w:sz w:val="21"/>
        </w:rPr>
        <w:t>合同终止时的移交：</w:t>
      </w:r>
    </w:p>
    <w:p>
      <w:pPr>
        <w:pStyle w:val="null3"/>
        <w:jc w:val="left"/>
      </w:pPr>
      <w:r>
        <w:rPr>
          <w:sz w:val="21"/>
        </w:rPr>
        <w:t>13.3.1</w:t>
      </w:r>
      <w:r>
        <w:rPr>
          <w:sz w:val="21"/>
        </w:rPr>
        <w:t>甲、乙双方应成立移交小组，对移交的设施、设备、场地、财产等资产数量及现状进行清点核实并形成移交清单，双方签字认可后</w:t>
      </w:r>
      <w:r>
        <w:rPr>
          <w:sz w:val="21"/>
        </w:rPr>
        <w:t>30</w:t>
      </w:r>
      <w:r>
        <w:rPr>
          <w:sz w:val="21"/>
        </w:rPr>
        <w:t>日内完成移交。</w:t>
      </w:r>
    </w:p>
    <w:p>
      <w:pPr>
        <w:pStyle w:val="null3"/>
        <w:jc w:val="left"/>
      </w:pPr>
      <w:r>
        <w:rPr>
          <w:sz w:val="21"/>
        </w:rPr>
        <w:t>13.3.2</w:t>
      </w:r>
      <w:r>
        <w:rPr>
          <w:sz w:val="21"/>
        </w:rPr>
        <w:t>本合同终止时乙方向甲方移交托管项目前，双方共同对照明设施进行一次全面检修，确保照明设施外观完整性能正常，检修费用由乙方承担。</w:t>
      </w:r>
    </w:p>
    <w:p>
      <w:pPr>
        <w:pStyle w:val="null3"/>
        <w:jc w:val="left"/>
      </w:pPr>
      <w:r>
        <w:rPr>
          <w:sz w:val="21"/>
        </w:rPr>
        <w:t>13.4</w:t>
      </w:r>
      <w:r>
        <w:rPr>
          <w:sz w:val="21"/>
        </w:rPr>
        <w:t>无论何种情形的移交，任何一方向对方移交时，均应确保移交资产现状完好，且不存在任何抵押、留置等任何他项权及权利瑕疵。</w:t>
      </w:r>
    </w:p>
    <w:p>
      <w:pPr>
        <w:pStyle w:val="null3"/>
        <w:jc w:val="left"/>
      </w:pPr>
      <w:r>
        <w:rPr>
          <w:sz w:val="21"/>
          <w:b/>
        </w:rPr>
        <w:t>第十四条所有权和知识产权归属</w:t>
      </w:r>
    </w:p>
    <w:p>
      <w:pPr>
        <w:pStyle w:val="null3"/>
        <w:jc w:val="left"/>
      </w:pPr>
      <w:r>
        <w:rPr>
          <w:sz w:val="21"/>
        </w:rPr>
        <w:t>14.1</w:t>
      </w:r>
      <w:r>
        <w:rPr>
          <w:sz w:val="21"/>
        </w:rPr>
        <w:t>照明设施所有权归属：托管项目涉及的全部照明设施设备、托管过程中的新增、替换的照明设施设备、乙方开展托管工作添附的全部相关设施设备的所有权归甲方所有。</w:t>
      </w:r>
    </w:p>
    <w:p>
      <w:pPr>
        <w:pStyle w:val="null3"/>
        <w:jc w:val="left"/>
      </w:pPr>
      <w:r>
        <w:rPr>
          <w:sz w:val="21"/>
        </w:rPr>
        <w:t>14.2</w:t>
      </w:r>
      <w:r>
        <w:rPr>
          <w:sz w:val="21"/>
        </w:rPr>
        <w:t>乙方进行节能改造开发的数据平台、应用程序等技术成果的所有权和知识产权归甲方所有。同时，乙方应确保相关技术成果具备合法性，如出现侵害第三方合法权利的情形，乙方负责承担全部法律责任及经济赔偿责任。</w:t>
      </w:r>
    </w:p>
    <w:p>
      <w:pPr>
        <w:pStyle w:val="null3"/>
        <w:jc w:val="left"/>
      </w:pPr>
      <w:r>
        <w:rPr>
          <w:sz w:val="21"/>
        </w:rPr>
        <w:t>14.3</w:t>
      </w:r>
      <w:r>
        <w:rPr>
          <w:sz w:val="21"/>
        </w:rPr>
        <w:t>本条约定适用于合同生效、履行、终止（包括但不限于合同期限届满、合同解除、乙方退场）等所有情形。</w:t>
      </w:r>
    </w:p>
    <w:p>
      <w:pPr>
        <w:pStyle w:val="null3"/>
        <w:jc w:val="left"/>
      </w:pPr>
      <w:r>
        <w:rPr>
          <w:sz w:val="21"/>
          <w:b/>
        </w:rPr>
        <w:t>第十五条应急预案</w:t>
      </w:r>
    </w:p>
    <w:p>
      <w:pPr>
        <w:pStyle w:val="null3"/>
        <w:jc w:val="left"/>
      </w:pPr>
      <w:r>
        <w:rPr>
          <w:sz w:val="21"/>
        </w:rPr>
        <w:t>15.1</w:t>
      </w:r>
      <w:r>
        <w:rPr>
          <w:sz w:val="21"/>
        </w:rPr>
        <w:t>乙方应按照相关法律法规和标准规定，针对自然灾害、重（特）大事故、环境公害及人为破坏等突发情况建立相应的应急预案，并保证在出现重大意外事件时其保障体系能够正常启动和运行，以降低灾害发生对项目造成的损失。</w:t>
      </w:r>
    </w:p>
    <w:p>
      <w:pPr>
        <w:pStyle w:val="null3"/>
        <w:jc w:val="left"/>
      </w:pPr>
      <w:r>
        <w:rPr>
          <w:sz w:val="21"/>
        </w:rPr>
        <w:t>15.2</w:t>
      </w:r>
      <w:r>
        <w:rPr>
          <w:sz w:val="21"/>
        </w:rPr>
        <w:t>乙方所编制的各种应急预案应按规定报相关部门审查审批或备案，并应向甲方报告应急预案的编制和备案等情况。</w:t>
      </w:r>
    </w:p>
    <w:p>
      <w:pPr>
        <w:pStyle w:val="null3"/>
        <w:jc w:val="left"/>
      </w:pPr>
      <w:r>
        <w:rPr>
          <w:sz w:val="21"/>
        </w:rPr>
        <w:t>15.3</w:t>
      </w:r>
      <w:r>
        <w:rPr>
          <w:sz w:val="21"/>
        </w:rPr>
        <w:t>乙方应按预案要求建立健全相应的组织、指挥、设备等保障体系，并组织必要的培训和演练，接受相关部门的检查监督和指导。</w:t>
      </w:r>
    </w:p>
    <w:p>
      <w:pPr>
        <w:pStyle w:val="null3"/>
        <w:jc w:val="left"/>
      </w:pPr>
      <w:r>
        <w:rPr>
          <w:sz w:val="21"/>
          <w:b/>
        </w:rPr>
        <w:t>第十六条临时接管预案</w:t>
      </w:r>
    </w:p>
    <w:p>
      <w:pPr>
        <w:pStyle w:val="null3"/>
        <w:jc w:val="left"/>
      </w:pPr>
      <w:r>
        <w:rPr>
          <w:sz w:val="21"/>
        </w:rPr>
        <w:t>16.1</w:t>
      </w:r>
      <w:r>
        <w:rPr>
          <w:sz w:val="21"/>
        </w:rPr>
        <w:t>在以下特殊情况发生时，甲方有权对本项目实施临时接管，由甲方指定的第三方接管乙方所承担的本项目全部或部分工作：</w:t>
      </w:r>
    </w:p>
    <w:p>
      <w:pPr>
        <w:pStyle w:val="null3"/>
        <w:jc w:val="left"/>
      </w:pPr>
      <w:r>
        <w:rPr>
          <w:sz w:val="21"/>
        </w:rPr>
        <w:t>16.1.1</w:t>
      </w:r>
      <w:r>
        <w:rPr>
          <w:sz w:val="21"/>
        </w:rPr>
        <w:t>发生紧急事件或合理预期可能出现的紧急事件，如乙方未能有效采取应急措施，且如果甲方不采取临时接管措施将导致或可能导致严重危及公共利益或公共安全的情形。</w:t>
      </w:r>
    </w:p>
    <w:p>
      <w:pPr>
        <w:pStyle w:val="null3"/>
        <w:jc w:val="left"/>
      </w:pPr>
      <w:r>
        <w:rPr>
          <w:sz w:val="21"/>
        </w:rPr>
        <w:t>16.1.2</w:t>
      </w:r>
      <w:r>
        <w:rPr>
          <w:sz w:val="21"/>
        </w:rPr>
        <w:t>因乙方原因导致项目节能改造停工超过</w:t>
      </w:r>
      <w:r>
        <w:rPr>
          <w:u w:val="single"/>
        </w:rPr>
        <w:t xml:space="preserve">      </w:t>
      </w:r>
      <w:r>
        <w:rPr>
          <w:sz w:val="21"/>
        </w:rPr>
        <w:t>天，或托管项目出现因乙方原因熄灯盏数达到、或熄灯区域达到</w:t>
      </w:r>
      <w:r>
        <w:rPr>
          <w:u w:val="single"/>
        </w:rPr>
        <w:t xml:space="preserve">      </w:t>
      </w:r>
      <w:r>
        <w:rPr>
          <w:sz w:val="21"/>
        </w:rPr>
        <w:t>、或熄灯时长达到</w:t>
      </w:r>
      <w:r>
        <w:rPr>
          <w:u w:val="single"/>
        </w:rPr>
        <w:t xml:space="preserve">      </w:t>
      </w:r>
      <w:r>
        <w:rPr>
          <w:sz w:val="21"/>
        </w:rPr>
        <w:t>等情形，期间经甲方发出通知要求复工复产，但乙方仍未恢复的情形。</w:t>
      </w:r>
    </w:p>
    <w:p>
      <w:pPr>
        <w:pStyle w:val="null3"/>
        <w:jc w:val="left"/>
      </w:pPr>
      <w:r>
        <w:rPr>
          <w:sz w:val="21"/>
        </w:rPr>
        <w:t>16.1.3</w:t>
      </w:r>
      <w:r>
        <w:rPr>
          <w:sz w:val="21"/>
        </w:rPr>
        <w:t>其他情形：照明品质出现未达到承诺标准及</w:t>
      </w:r>
      <w:r>
        <w:rPr>
          <w:sz w:val="20"/>
        </w:rPr>
        <w:t>《城市道路照明设计标准》（</w:t>
      </w:r>
      <w:r>
        <w:rPr>
          <w:sz w:val="20"/>
        </w:rPr>
        <w:t>CJJ45-2015</w:t>
      </w:r>
      <w:r>
        <w:rPr>
          <w:sz w:val="20"/>
        </w:rPr>
        <w:t>）</w:t>
      </w:r>
      <w:r>
        <w:rPr>
          <w:sz w:val="20"/>
          <w:b/>
        </w:rPr>
        <w:t>且满足《古镇节能改造产品技术参数》的要求</w:t>
      </w:r>
      <w:r>
        <w:rPr>
          <w:sz w:val="21"/>
        </w:rPr>
        <w:t>，经甲方发出通知要求整改，但乙方仍未整改或整改仍不达标。</w:t>
      </w:r>
    </w:p>
    <w:p>
      <w:pPr>
        <w:pStyle w:val="null3"/>
        <w:jc w:val="left"/>
      </w:pPr>
      <w:r>
        <w:rPr>
          <w:sz w:val="21"/>
        </w:rPr>
        <w:t>16.2</w:t>
      </w:r>
      <w:r>
        <w:rPr>
          <w:sz w:val="21"/>
        </w:rPr>
        <w:t>甲方实施临时接管，应就实施临时接管的原因、决定、接管范围和程度、接管机构、接管时间等事先书面通知乙方，并充分考虑乙方所作出的申述，但无须获得乙方同意。</w:t>
      </w:r>
    </w:p>
    <w:p>
      <w:pPr>
        <w:pStyle w:val="null3"/>
        <w:jc w:val="left"/>
      </w:pPr>
      <w:r>
        <w:rPr>
          <w:sz w:val="21"/>
        </w:rPr>
        <w:t>16.3</w:t>
      </w:r>
      <w:r>
        <w:rPr>
          <w:sz w:val="21"/>
        </w:rPr>
        <w:t>在临时接管期间，乙方应无条件服从甲方或政府指定接管机构的所有指令、命令，并应提供相关的配合工作，包括提供项目运营所需的备品配件及项目资料等。</w:t>
      </w:r>
    </w:p>
    <w:p>
      <w:pPr>
        <w:pStyle w:val="null3"/>
        <w:jc w:val="left"/>
      </w:pPr>
      <w:r>
        <w:rPr>
          <w:sz w:val="21"/>
        </w:rPr>
        <w:t>16.4</w:t>
      </w:r>
      <w:r>
        <w:rPr>
          <w:sz w:val="21"/>
        </w:rPr>
        <w:t>临时接管将持续到导致实施临时接管的原因或事件影响已消除，且甲方认为乙方已重新具备或达到恢复托管项目正常运营能力或相关条件为止。</w:t>
      </w:r>
    </w:p>
    <w:p>
      <w:pPr>
        <w:pStyle w:val="null3"/>
        <w:jc w:val="left"/>
      </w:pPr>
      <w:r>
        <w:rPr>
          <w:sz w:val="21"/>
        </w:rPr>
        <w:t>16.5</w:t>
      </w:r>
      <w:r>
        <w:rPr>
          <w:sz w:val="21"/>
        </w:rPr>
        <w:t>甲方的临时接管并不直接导致本协议中止、终止或转让。</w:t>
      </w:r>
    </w:p>
    <w:p>
      <w:pPr>
        <w:pStyle w:val="null3"/>
        <w:jc w:val="left"/>
      </w:pPr>
      <w:r>
        <w:rPr>
          <w:sz w:val="21"/>
        </w:rPr>
        <w:t>16.6</w:t>
      </w:r>
      <w:r>
        <w:rPr>
          <w:sz w:val="21"/>
        </w:rPr>
        <w:t>其他约定：</w:t>
      </w:r>
    </w:p>
    <w:p>
      <w:pPr>
        <w:pStyle w:val="null3"/>
        <w:jc w:val="left"/>
      </w:pPr>
      <w:r>
        <w:rPr>
          <w:sz w:val="21"/>
          <w:b/>
        </w:rPr>
        <w:t>第十七条商业秘密保密约定</w:t>
      </w:r>
    </w:p>
    <w:p>
      <w:pPr>
        <w:pStyle w:val="null3"/>
        <w:jc w:val="left"/>
      </w:pPr>
      <w:r>
        <w:rPr>
          <w:sz w:val="21"/>
        </w:rPr>
        <w:t>17.1</w:t>
      </w:r>
      <w:r>
        <w:rPr>
          <w:sz w:val="21"/>
        </w:rPr>
        <w:t>商业秘密范围：与托管项目相关的全部专有且保密的信息，该信息从未对外公布过亦未为公众所知悉，内容包括但不限于城市照明设施节能改造、维护管养、用能情况、照明控制系统等的相关数据和资料，形式包括但不限于书面、录音录像、照片、磁（光）盘、数据电文、口头形式等。</w:t>
      </w:r>
    </w:p>
    <w:p>
      <w:pPr>
        <w:pStyle w:val="null3"/>
        <w:jc w:val="left"/>
      </w:pPr>
      <w:r>
        <w:rPr>
          <w:sz w:val="21"/>
        </w:rPr>
        <w:t>17.2</w:t>
      </w:r>
      <w:r>
        <w:rPr>
          <w:sz w:val="21"/>
        </w:rPr>
        <w:t>甲、乙双方的保密义务自本合同签订时起到保密信息公开时止。无论双方是否实际开始、中止、终止合同约定，均不影响承担保密义务。</w:t>
      </w:r>
    </w:p>
    <w:p>
      <w:pPr>
        <w:pStyle w:val="null3"/>
        <w:jc w:val="left"/>
      </w:pPr>
      <w:r>
        <w:rPr>
          <w:sz w:val="21"/>
        </w:rPr>
        <w:t>17.3</w:t>
      </w:r>
      <w:r>
        <w:rPr>
          <w:sz w:val="21"/>
        </w:rPr>
        <w:t>如任何一方未履行本合同约定的保密义务的，应赔偿相对方由此产生的实际损失，并承担相应的法律责任。</w:t>
      </w:r>
    </w:p>
    <w:p>
      <w:pPr>
        <w:pStyle w:val="null3"/>
        <w:jc w:val="left"/>
      </w:pPr>
      <w:r>
        <w:rPr>
          <w:sz w:val="21"/>
          <w:b/>
        </w:rPr>
        <w:t>第十八条甲方的权利和义务</w:t>
      </w:r>
    </w:p>
    <w:p>
      <w:pPr>
        <w:pStyle w:val="null3"/>
        <w:jc w:val="left"/>
      </w:pPr>
      <w:r>
        <w:rPr>
          <w:sz w:val="21"/>
        </w:rPr>
        <w:t>18.1</w:t>
      </w:r>
      <w:r>
        <w:rPr>
          <w:sz w:val="21"/>
        </w:rPr>
        <w:t>甲方的权利</w:t>
      </w:r>
    </w:p>
    <w:p>
      <w:pPr>
        <w:pStyle w:val="null3"/>
        <w:jc w:val="left"/>
      </w:pPr>
      <w:r>
        <w:rPr>
          <w:sz w:val="21"/>
        </w:rPr>
        <w:t>18.1.1</w:t>
      </w:r>
      <w:r>
        <w:rPr>
          <w:sz w:val="21"/>
        </w:rPr>
        <w:t>对乙方进行履约能力核实，若存在提供虚假材料、未实质性响应招标文件、借用他人资质名义等不具备履约能力等情形，甲方有权提前终止本合同。</w:t>
      </w:r>
    </w:p>
    <w:p>
      <w:pPr>
        <w:pStyle w:val="null3"/>
        <w:jc w:val="left"/>
      </w:pPr>
      <w:r>
        <w:rPr>
          <w:sz w:val="21"/>
        </w:rPr>
        <w:t>18.1.2</w:t>
      </w:r>
      <w:r>
        <w:rPr>
          <w:sz w:val="21"/>
        </w:rPr>
        <w:t>依照国家相关法律、法规、本合同约定的城市照明综合管养维护要求和标准（见附件五）对乙方进行监管。如多个标准规定及约定不一致的，或标准存在参数区间幅度规定的，按参数就高原则执行。</w:t>
      </w:r>
    </w:p>
    <w:p>
      <w:pPr>
        <w:pStyle w:val="null3"/>
        <w:jc w:val="left"/>
      </w:pPr>
      <w:r>
        <w:rPr>
          <w:sz w:val="21"/>
        </w:rPr>
        <w:t>18.1.3</w:t>
      </w:r>
      <w:r>
        <w:rPr>
          <w:sz w:val="21"/>
        </w:rPr>
        <w:t>监督乙方实施合同内容，并可自行或委托第三方对乙方管养维护的资产和管理状况进行评估，根据评估结果向乙方提出建议。乙方连续或累计三次评估不合格，明显不具备履行本合同能力的，甲方有权提前终止本合同。</w:t>
      </w:r>
    </w:p>
    <w:p>
      <w:pPr>
        <w:pStyle w:val="null3"/>
        <w:jc w:val="left"/>
      </w:pPr>
      <w:r>
        <w:rPr>
          <w:sz w:val="21"/>
        </w:rPr>
        <w:t>18.1.4</w:t>
      </w:r>
      <w:r>
        <w:rPr>
          <w:sz w:val="21"/>
        </w:rPr>
        <w:t>甲方有权不定期对托管范围内的照明设施进行抽检，抽检比例不超过</w:t>
      </w:r>
      <w:r>
        <w:rPr>
          <w:sz w:val="21"/>
        </w:rPr>
        <w:t>3%</w:t>
      </w:r>
      <w:r>
        <w:rPr>
          <w:sz w:val="21"/>
        </w:rPr>
        <w:t>，如抽检结果未达到本合同约定标准的，乙方应及时更换直至达标。</w:t>
      </w:r>
    </w:p>
    <w:p>
      <w:pPr>
        <w:pStyle w:val="null3"/>
        <w:jc w:val="left"/>
      </w:pPr>
      <w:r>
        <w:rPr>
          <w:sz w:val="21"/>
        </w:rPr>
        <w:t>18.1.5</w:t>
      </w:r>
      <w:r>
        <w:rPr>
          <w:sz w:val="21"/>
        </w:rPr>
        <w:t>受理公众对乙方的投诉，进行核实并依据法律、法规和本合同约定处理。</w:t>
      </w:r>
    </w:p>
    <w:p>
      <w:pPr>
        <w:pStyle w:val="null3"/>
        <w:jc w:val="left"/>
      </w:pPr>
      <w:r>
        <w:rPr>
          <w:sz w:val="21"/>
        </w:rPr>
        <w:t>18.1.6</w:t>
      </w:r>
      <w:r>
        <w:rPr>
          <w:sz w:val="21"/>
        </w:rPr>
        <w:t>了解乙方对聘用员工的劳动管理情况，并提出意见和建议。</w:t>
      </w:r>
    </w:p>
    <w:p>
      <w:pPr>
        <w:pStyle w:val="null3"/>
        <w:jc w:val="left"/>
      </w:pPr>
      <w:r>
        <w:rPr>
          <w:sz w:val="21"/>
        </w:rPr>
        <w:t>18.1.7</w:t>
      </w:r>
      <w:r>
        <w:rPr>
          <w:sz w:val="21"/>
        </w:rPr>
        <w:t>甲方根据托管协议约定开展全程监管，进行绩效考核，如发现与托管协议约定存在不相符合的情形，有权责成乙方限期整改，并扣减甲方支付的托管服务费，追究乙方违约责任。</w:t>
      </w:r>
    </w:p>
    <w:p>
      <w:pPr>
        <w:pStyle w:val="null3"/>
        <w:jc w:val="left"/>
      </w:pPr>
      <w:r>
        <w:rPr>
          <w:sz w:val="21"/>
        </w:rPr>
        <w:t>18.1.8</w:t>
      </w:r>
      <w:r>
        <w:rPr>
          <w:sz w:val="21"/>
        </w:rPr>
        <w:t>甲方对乙方的建设及经营活动进行监督检查权，有权对乙方的建设及经营活动进行财务审计，要求乙方报告项目投资、设计、建设、运营等相关信息。</w:t>
      </w:r>
    </w:p>
    <w:p>
      <w:pPr>
        <w:pStyle w:val="null3"/>
        <w:jc w:val="left"/>
      </w:pPr>
      <w:r>
        <w:rPr>
          <w:sz w:val="21"/>
        </w:rPr>
        <w:t>18.1.9</w:t>
      </w:r>
      <w:r>
        <w:rPr>
          <w:sz w:val="21"/>
        </w:rPr>
        <w:t>如乙方发生托管协议约定的违约行为，或发生公众利益可能或已受到严重影响的紧急情况，甲方有权依法对项目进行临时接管或提前终止托管协议。</w:t>
      </w:r>
    </w:p>
    <w:p>
      <w:pPr>
        <w:pStyle w:val="null3"/>
        <w:jc w:val="left"/>
      </w:pPr>
      <w:r>
        <w:rPr>
          <w:sz w:val="24"/>
        </w:rPr>
        <w:t>18.1.10</w:t>
      </w:r>
      <w:r>
        <w:rPr>
          <w:sz w:val="21"/>
        </w:rPr>
        <w:t>法律、法规及本合同约定的其它义务。</w:t>
      </w:r>
    </w:p>
    <w:p>
      <w:pPr>
        <w:pStyle w:val="null3"/>
        <w:jc w:val="left"/>
      </w:pPr>
      <w:r>
        <w:rPr>
          <w:sz w:val="21"/>
        </w:rPr>
        <w:t>18.2</w:t>
      </w:r>
      <w:r>
        <w:rPr>
          <w:sz w:val="21"/>
        </w:rPr>
        <w:t>甲方的义务</w:t>
      </w:r>
    </w:p>
    <w:p>
      <w:pPr>
        <w:pStyle w:val="null3"/>
        <w:jc w:val="left"/>
      </w:pPr>
      <w:r>
        <w:rPr>
          <w:sz w:val="21"/>
        </w:rPr>
        <w:t>18.2.1</w:t>
      </w:r>
      <w:r>
        <w:rPr>
          <w:sz w:val="21"/>
        </w:rPr>
        <w:t>甲方应当提供必要的资料协助、配合第三方机构开展能源审计。</w:t>
      </w:r>
    </w:p>
    <w:p>
      <w:pPr>
        <w:pStyle w:val="null3"/>
        <w:jc w:val="left"/>
      </w:pPr>
      <w:r>
        <w:rPr>
          <w:sz w:val="21"/>
        </w:rPr>
        <w:t>18.2.2</w:t>
      </w:r>
      <w:r>
        <w:rPr>
          <w:sz w:val="21"/>
        </w:rPr>
        <w:t>甲方应当将与托管项目有关的技术资料、规章制度和安全规定提前告知乙方。</w:t>
      </w:r>
    </w:p>
    <w:p>
      <w:pPr>
        <w:pStyle w:val="null3"/>
        <w:jc w:val="left"/>
      </w:pPr>
      <w:r>
        <w:rPr>
          <w:sz w:val="21"/>
        </w:rPr>
        <w:t>18.2.3</w:t>
      </w:r>
      <w:r>
        <w:rPr>
          <w:sz w:val="21"/>
        </w:rPr>
        <w:t>甲方应当为乙方的服务工作提供必要的便利条件。</w:t>
      </w:r>
    </w:p>
    <w:p>
      <w:pPr>
        <w:pStyle w:val="null3"/>
        <w:jc w:val="left"/>
      </w:pPr>
      <w:r>
        <w:rPr>
          <w:sz w:val="21"/>
        </w:rPr>
        <w:t>18.2.4</w:t>
      </w:r>
      <w:r>
        <w:rPr>
          <w:sz w:val="21"/>
        </w:rPr>
        <w:t>甲方应当协助乙方向有关政府机构或者组织申请与项目相关的补助、奖励或其他可适用的优惠政策。</w:t>
      </w:r>
    </w:p>
    <w:p>
      <w:pPr>
        <w:pStyle w:val="null3"/>
        <w:jc w:val="left"/>
      </w:pPr>
      <w:r>
        <w:rPr>
          <w:sz w:val="21"/>
        </w:rPr>
        <w:t>18.2.5</w:t>
      </w:r>
      <w:r>
        <w:rPr>
          <w:sz w:val="21"/>
        </w:rPr>
        <w:t>按照本合同约定向乙方支付托管服务费。</w:t>
      </w:r>
    </w:p>
    <w:p>
      <w:pPr>
        <w:pStyle w:val="null3"/>
        <w:jc w:val="left"/>
      </w:pPr>
      <w:r>
        <w:rPr>
          <w:sz w:val="21"/>
        </w:rPr>
        <w:t>18.2.6</w:t>
      </w:r>
      <w:r>
        <w:rPr>
          <w:sz w:val="21"/>
        </w:rPr>
        <w:t>法律、法规及本合同约定的其它义务。</w:t>
      </w:r>
    </w:p>
    <w:p>
      <w:pPr>
        <w:pStyle w:val="null3"/>
        <w:jc w:val="left"/>
      </w:pPr>
      <w:r>
        <w:rPr>
          <w:sz w:val="21"/>
          <w:b/>
        </w:rPr>
        <w:t>第十九条乙方的权利和义务</w:t>
      </w:r>
    </w:p>
    <w:p>
      <w:pPr>
        <w:pStyle w:val="null3"/>
        <w:jc w:val="left"/>
      </w:pPr>
      <w:r>
        <w:rPr>
          <w:sz w:val="21"/>
        </w:rPr>
        <w:t>19.1</w:t>
      </w:r>
      <w:r>
        <w:rPr>
          <w:sz w:val="21"/>
        </w:rPr>
        <w:t>乙方的权利</w:t>
      </w:r>
    </w:p>
    <w:p>
      <w:pPr>
        <w:pStyle w:val="null3"/>
        <w:jc w:val="left"/>
      </w:pPr>
      <w:r>
        <w:rPr>
          <w:sz w:val="21"/>
        </w:rPr>
        <w:t>19.1.1</w:t>
      </w:r>
      <w:r>
        <w:rPr>
          <w:sz w:val="21"/>
        </w:rPr>
        <w:t>享有项目节能改造和运行管理权，负责项目投资、改造、运行管理、维修维护等事宜，通过提高能源效率降低能源费用，并按照托管协议约定获得甲方支付的托管服务费。</w:t>
      </w:r>
    </w:p>
    <w:p>
      <w:pPr>
        <w:pStyle w:val="null3"/>
        <w:jc w:val="left"/>
      </w:pPr>
      <w:r>
        <w:rPr>
          <w:sz w:val="21"/>
        </w:rPr>
        <w:t>19.1.2</w:t>
      </w:r>
      <w:r>
        <w:rPr>
          <w:sz w:val="21"/>
        </w:rPr>
        <w:t>如发生影响城市照明设施正常运行的突发事件，乙方有权进行先行处置，并在</w:t>
      </w:r>
      <w:r>
        <w:rPr>
          <w:sz w:val="21"/>
        </w:rPr>
        <w:t>24</w:t>
      </w:r>
      <w:r>
        <w:rPr>
          <w:sz w:val="21"/>
        </w:rPr>
        <w:t>小时内向甲方报告。</w:t>
      </w:r>
    </w:p>
    <w:p>
      <w:pPr>
        <w:pStyle w:val="null3"/>
        <w:jc w:val="left"/>
      </w:pPr>
      <w:r>
        <w:rPr>
          <w:sz w:val="21"/>
        </w:rPr>
        <w:t>19.1.3</w:t>
      </w:r>
      <w:r>
        <w:rPr>
          <w:sz w:val="21"/>
        </w:rPr>
        <w:t>根据相关法律、法规规定以及托管协议约定，经营管理和使用项目设施的权利。</w:t>
      </w:r>
    </w:p>
    <w:p>
      <w:pPr>
        <w:pStyle w:val="null3"/>
        <w:jc w:val="left"/>
      </w:pPr>
      <w:r>
        <w:rPr>
          <w:sz w:val="21"/>
        </w:rPr>
        <w:t>19.1.4</w:t>
      </w:r>
      <w:r>
        <w:rPr>
          <w:sz w:val="21"/>
        </w:rPr>
        <w:t>法律、法规及本合同约定的其他权利。</w:t>
      </w:r>
    </w:p>
    <w:p>
      <w:pPr>
        <w:pStyle w:val="null3"/>
        <w:jc w:val="left"/>
      </w:pPr>
      <w:r>
        <w:rPr>
          <w:sz w:val="21"/>
        </w:rPr>
        <w:t>19.2</w:t>
      </w:r>
      <w:r>
        <w:rPr>
          <w:sz w:val="21"/>
        </w:rPr>
        <w:t>乙方的义务</w:t>
      </w:r>
    </w:p>
    <w:p>
      <w:pPr>
        <w:pStyle w:val="null3"/>
        <w:jc w:val="left"/>
      </w:pPr>
      <w:r>
        <w:rPr>
          <w:sz w:val="21"/>
        </w:rPr>
        <w:t>19.2.1</w:t>
      </w:r>
      <w:r>
        <w:rPr>
          <w:sz w:val="21"/>
        </w:rPr>
        <w:t>全面履行托管协议，自主经营、自担风险、自负盈亏及独立核算，开展项目投资、改造、运行管理等。</w:t>
      </w:r>
    </w:p>
    <w:p>
      <w:pPr>
        <w:pStyle w:val="null3"/>
        <w:jc w:val="left"/>
      </w:pPr>
      <w:r>
        <w:rPr>
          <w:sz w:val="21"/>
        </w:rPr>
        <w:t>19.2.2.</w:t>
      </w:r>
      <w:r>
        <w:rPr>
          <w:sz w:val="21"/>
        </w:rPr>
        <w:t>按法律法规、国家标准、行业标准及托管协议约定托管项目，确保路灯系统持续、安全、稳定提供服务。</w:t>
      </w:r>
    </w:p>
    <w:p>
      <w:pPr>
        <w:pStyle w:val="null3"/>
        <w:jc w:val="left"/>
      </w:pPr>
      <w:r>
        <w:rPr>
          <w:sz w:val="21"/>
        </w:rPr>
        <w:t>19.2.3</w:t>
      </w:r>
      <w:r>
        <w:rPr>
          <w:sz w:val="21"/>
        </w:rPr>
        <w:t>维护城市照明设施安全稳定运行，不得擅自中断城市照明，保障托管范围内的设施安全、网络安全、信息安全。发生故障或者安全事故时，应迅速抢修和救援。</w:t>
      </w:r>
    </w:p>
    <w:p>
      <w:pPr>
        <w:pStyle w:val="null3"/>
        <w:jc w:val="left"/>
      </w:pPr>
      <w:r>
        <w:rPr>
          <w:sz w:val="21"/>
        </w:rPr>
        <w:t>19.2.4</w:t>
      </w:r>
      <w:r>
        <w:rPr>
          <w:sz w:val="21"/>
        </w:rPr>
        <w:t>承担城市照明设施节能改造费、运行电费、管养维护费（含人工费、材料费、照明设施控制系统通讯费等）、设施被盗被损恢复费、供电抢修、意外事件导致人身财产损失赔偿、保险费、税费等全部费用。</w:t>
      </w:r>
    </w:p>
    <w:p>
      <w:pPr>
        <w:pStyle w:val="null3"/>
        <w:jc w:val="left"/>
      </w:pPr>
      <w:r>
        <w:rPr>
          <w:sz w:val="21"/>
        </w:rPr>
        <w:t>19.2.5</w:t>
      </w:r>
      <w:r>
        <w:rPr>
          <w:sz w:val="21"/>
        </w:rPr>
        <w:t>及时制订并实施城市照明远近期管养维护计划。</w:t>
      </w:r>
    </w:p>
    <w:p>
      <w:pPr>
        <w:pStyle w:val="null3"/>
        <w:jc w:val="left"/>
      </w:pPr>
      <w:r>
        <w:rPr>
          <w:sz w:val="21"/>
        </w:rPr>
        <w:t>19.2.6</w:t>
      </w:r>
      <w:r>
        <w:rPr>
          <w:sz w:val="21"/>
        </w:rPr>
        <w:t>接受并配合甲方的调查、抽检、考核等监督管理，并接受社会公众的监督。</w:t>
      </w:r>
    </w:p>
    <w:p>
      <w:pPr>
        <w:pStyle w:val="null3"/>
        <w:jc w:val="left"/>
      </w:pPr>
      <w:r>
        <w:rPr>
          <w:sz w:val="21"/>
        </w:rPr>
        <w:t>19.2.7</w:t>
      </w:r>
      <w:r>
        <w:rPr>
          <w:sz w:val="21"/>
        </w:rPr>
        <w:t>依法为聘用员工提供合理必要的劳动保护措施和条件。</w:t>
      </w:r>
    </w:p>
    <w:p>
      <w:pPr>
        <w:pStyle w:val="null3"/>
        <w:jc w:val="left"/>
      </w:pPr>
      <w:r>
        <w:rPr>
          <w:sz w:val="21"/>
        </w:rPr>
        <w:t>19.2.8</w:t>
      </w:r>
      <w:r>
        <w:rPr>
          <w:sz w:val="21"/>
        </w:rPr>
        <w:t>未经甲方同意，不得擅自停业、歇业，不得擅自以出租、质押、挂靠、承包或转让等形式处置本项目能源托管运维服务，不得擅自改变设施、设备的功能和用途。</w:t>
      </w:r>
    </w:p>
    <w:p>
      <w:pPr>
        <w:pStyle w:val="null3"/>
        <w:jc w:val="left"/>
      </w:pPr>
      <w:r>
        <w:rPr>
          <w:sz w:val="21"/>
        </w:rPr>
        <w:t>19.2.9</w:t>
      </w:r>
      <w:r>
        <w:rPr>
          <w:sz w:val="21"/>
        </w:rPr>
        <w:t>乙方管理人员进入甲方的相关场所，应当遵守甲方的规章制度。乙方的维修维护管理等工作，应当不影响项目正常运行。必须要停止项目正常运行时，乙方应当提前通报甲方的负责人，协调安排好相应的工作。</w:t>
      </w:r>
    </w:p>
    <w:p>
      <w:pPr>
        <w:pStyle w:val="null3"/>
        <w:jc w:val="left"/>
      </w:pPr>
      <w:r>
        <w:rPr>
          <w:sz w:val="21"/>
        </w:rPr>
        <w:t>19.2.10</w:t>
      </w:r>
      <w:r>
        <w:rPr>
          <w:sz w:val="21"/>
        </w:rPr>
        <w:t>根据合同约定向甲方提供履约担保。</w:t>
      </w:r>
    </w:p>
    <w:p>
      <w:pPr>
        <w:pStyle w:val="null3"/>
        <w:jc w:val="left"/>
      </w:pPr>
      <w:r>
        <w:rPr>
          <w:sz w:val="21"/>
        </w:rPr>
        <w:t>19.3</w:t>
      </w:r>
      <w:r>
        <w:rPr>
          <w:sz w:val="21"/>
        </w:rPr>
        <w:t>甲方的项目负责人为：</w:t>
      </w:r>
      <w:r>
        <w:rPr>
          <w:u w:val="single"/>
        </w:rPr>
        <w:t xml:space="preserve">           </w:t>
      </w:r>
      <w:r>
        <w:rPr>
          <w:sz w:val="21"/>
        </w:rPr>
        <w:t>；乙方的项目负责人为：</w:t>
      </w:r>
      <w:r>
        <w:rPr>
          <w:u w:val="single"/>
        </w:rPr>
        <w:t xml:space="preserve">           </w:t>
      </w:r>
      <w:r>
        <w:rPr>
          <w:sz w:val="21"/>
        </w:rPr>
        <w:t>。</w:t>
      </w:r>
    </w:p>
    <w:p>
      <w:pPr>
        <w:pStyle w:val="null3"/>
        <w:jc w:val="left"/>
      </w:pPr>
      <w:r>
        <w:rPr>
          <w:sz w:val="21"/>
        </w:rPr>
        <w:t>任何一方更换项目负责人应以书面形式通知对方。</w:t>
      </w:r>
    </w:p>
    <w:p>
      <w:pPr>
        <w:pStyle w:val="null3"/>
        <w:jc w:val="left"/>
      </w:pPr>
      <w:r>
        <w:rPr>
          <w:sz w:val="21"/>
        </w:rPr>
        <w:t>项目负责人可以就本合同的履行过程中的事项签署相关洽商文件，该洽商文件对双方具有约束力，其他相关人员无权签署此类洽商文件。</w:t>
      </w:r>
    </w:p>
    <w:p>
      <w:pPr>
        <w:pStyle w:val="null3"/>
        <w:jc w:val="left"/>
      </w:pPr>
      <w:r>
        <w:rPr>
          <w:sz w:val="21"/>
          <w:b/>
        </w:rPr>
        <w:t>第二十条安全生产和环境保护</w:t>
      </w:r>
    </w:p>
    <w:p>
      <w:pPr>
        <w:pStyle w:val="null3"/>
        <w:jc w:val="left"/>
      </w:pPr>
      <w:r>
        <w:rPr>
          <w:sz w:val="21"/>
        </w:rPr>
        <w:t>20.1</w:t>
      </w:r>
      <w:r>
        <w:rPr>
          <w:sz w:val="21"/>
        </w:rPr>
        <w:t>乙方在运营管理过程中应当严格遵守能源管理使用的法律、法规、规章制度，因违章操作或不尽职尽责导致在运行期间出现安全事故和经济损失由乙方负责。</w:t>
      </w:r>
    </w:p>
    <w:p>
      <w:pPr>
        <w:pStyle w:val="null3"/>
        <w:jc w:val="left"/>
      </w:pPr>
      <w:r>
        <w:rPr>
          <w:sz w:val="21"/>
        </w:rPr>
        <w:t>20.2</w:t>
      </w:r>
      <w:r>
        <w:rPr>
          <w:sz w:val="21"/>
        </w:rPr>
        <w:t>乙方进行的节能改造部分，由于乙方原因导致改造自身存在系统缺陷或施工质量导致安全事故和经济损失由乙方负责。</w:t>
      </w:r>
    </w:p>
    <w:p>
      <w:pPr>
        <w:pStyle w:val="null3"/>
        <w:jc w:val="left"/>
      </w:pPr>
      <w:r>
        <w:rPr>
          <w:sz w:val="21"/>
        </w:rPr>
        <w:t>20.3</w:t>
      </w:r>
      <w:r>
        <w:rPr>
          <w:sz w:val="21"/>
        </w:rPr>
        <w:t>如出现应急抢险等需要城市照明设施保障公共利益的需要，乙方应无条件服从甲方安排。</w:t>
      </w:r>
    </w:p>
    <w:p>
      <w:pPr>
        <w:pStyle w:val="null3"/>
        <w:jc w:val="left"/>
      </w:pPr>
      <w:r>
        <w:rPr>
          <w:sz w:val="21"/>
          <w:b/>
        </w:rPr>
        <w:t>第二十一条廉政和反腐</w:t>
      </w:r>
    </w:p>
    <w:p>
      <w:pPr>
        <w:pStyle w:val="null3"/>
        <w:ind w:firstLine="420"/>
        <w:jc w:val="left"/>
      </w:pPr>
      <w:r>
        <w:rPr>
          <w:sz w:val="21"/>
        </w:rPr>
        <w:t>双方承诺，在任何形式的合作中，将坚决遵守国家法律法规及相关政策，确保业务往来的合法性和透明性，维护良好的市场秩序和公共利益。双方及其员工应严格禁止任何形式的贿赂、贪污、挪用公款、利益输送等腐败行为。这包括但不限于直接或间接地提供、承诺、给予、接受或索取任何形式的金钱、礼品、服务、优惠或其他经济利益，以影响或试图影响对方在业务决策、合同履行、项目招投标等方面的公正性和独立性。</w:t>
      </w:r>
    </w:p>
    <w:p>
      <w:pPr>
        <w:pStyle w:val="null3"/>
        <w:jc w:val="left"/>
      </w:pPr>
      <w:r>
        <w:rPr>
          <w:sz w:val="21"/>
        </w:rPr>
        <w:t>为有效监督和执行本条款，双方应建立健全的内部控制制度和反腐机制，包括但不限于加强员工廉洁教育、设立举报渠道、定期进行内部审计和风险评估等。同时，双方应相互支持，积极配合对方及第三方机构对可能存在的腐败行为进行调查和处理。</w:t>
      </w:r>
    </w:p>
    <w:p>
      <w:pPr>
        <w:pStyle w:val="null3"/>
        <w:ind w:firstLine="420"/>
        <w:jc w:val="left"/>
      </w:pPr>
      <w:r>
        <w:rPr>
          <w:sz w:val="21"/>
        </w:rPr>
        <w:t>对于违反本条款的行为，双方将依据相关法律法规及协议约定，采取包括但不限于解除协议、追回损失、追究法律责任等严厉措施，以维护自身合法权益和社会公共利益。本条款作为双方合作的基础性、原则性条款，具有不可分割的独立性，其效力不受其他条款的影响。双方应共同遵守，确保合作关系的纯洁性和可持续性。</w:t>
      </w:r>
    </w:p>
    <w:p>
      <w:pPr>
        <w:pStyle w:val="null3"/>
        <w:jc w:val="left"/>
      </w:pPr>
      <w:r>
        <w:rPr>
          <w:sz w:val="21"/>
          <w:b/>
        </w:rPr>
        <w:t>第二十二条合同变更、中止、解除</w:t>
      </w:r>
    </w:p>
    <w:p>
      <w:pPr>
        <w:pStyle w:val="null3"/>
        <w:jc w:val="left"/>
      </w:pPr>
      <w:r>
        <w:rPr>
          <w:sz w:val="21"/>
        </w:rPr>
        <w:t>22.1</w:t>
      </w:r>
      <w:r>
        <w:rPr>
          <w:sz w:val="21"/>
        </w:rPr>
        <w:t>如出现政策变化等情势变更情形，导致本合同不能继续履行或不能实现合同目的，经双方协商一致可以变更合同内容。</w:t>
      </w:r>
    </w:p>
    <w:p>
      <w:pPr>
        <w:pStyle w:val="null3"/>
        <w:jc w:val="left"/>
      </w:pPr>
      <w:r>
        <w:rPr>
          <w:sz w:val="21"/>
        </w:rPr>
        <w:t>22.2</w:t>
      </w:r>
      <w:r>
        <w:rPr>
          <w:sz w:val="21"/>
        </w:rPr>
        <w:t>本合同约定的权利义务不可转让。</w:t>
      </w:r>
    </w:p>
    <w:p>
      <w:pPr>
        <w:pStyle w:val="null3"/>
        <w:jc w:val="left"/>
      </w:pPr>
      <w:r>
        <w:rPr>
          <w:sz w:val="21"/>
        </w:rPr>
        <w:t>22.3</w:t>
      </w:r>
      <w:r>
        <w:rPr>
          <w:sz w:val="21"/>
        </w:rPr>
        <w:t>如一方严重违约导致合同不能继续履行时，守约方有权解除合同，守约方应当书面通知对方。</w:t>
      </w:r>
    </w:p>
    <w:p>
      <w:pPr>
        <w:pStyle w:val="null3"/>
        <w:jc w:val="left"/>
      </w:pPr>
      <w:r>
        <w:rPr>
          <w:sz w:val="21"/>
          <w:b/>
        </w:rPr>
        <w:t>第二十三条违约责任</w:t>
      </w:r>
    </w:p>
    <w:p>
      <w:pPr>
        <w:pStyle w:val="null3"/>
        <w:jc w:val="left"/>
      </w:pPr>
      <w:r>
        <w:rPr>
          <w:sz w:val="21"/>
        </w:rPr>
        <w:t>23.1</w:t>
      </w:r>
      <w:r>
        <w:rPr>
          <w:sz w:val="21"/>
        </w:rPr>
        <w:t>甲方的违约责任</w:t>
      </w:r>
    </w:p>
    <w:p>
      <w:pPr>
        <w:pStyle w:val="null3"/>
        <w:jc w:val="left"/>
      </w:pPr>
      <w:r>
        <w:rPr>
          <w:sz w:val="21"/>
        </w:rPr>
        <w:t>23.1.1</w:t>
      </w:r>
      <w:r>
        <w:rPr>
          <w:sz w:val="21"/>
        </w:rPr>
        <w:t>在乙方满足付款条件的前提下，如甲方未按时足额支付托管服务费用经乙方催告后仍未支付的，每逾期十日按照逾期付款金额的万分之一向乙方支付逾期违约金。</w:t>
      </w:r>
    </w:p>
    <w:p>
      <w:pPr>
        <w:pStyle w:val="null3"/>
        <w:jc w:val="left"/>
      </w:pPr>
      <w:r>
        <w:rPr>
          <w:sz w:val="21"/>
        </w:rPr>
        <w:t>23.1.2</w:t>
      </w:r>
      <w:r>
        <w:rPr>
          <w:sz w:val="21"/>
        </w:rPr>
        <w:t>如出现甲方未提供必要资料、便利条件，导致乙方未及时开展节能改造、管养维护工作的，甲方向乙方承担损失赔偿责任。</w:t>
      </w:r>
    </w:p>
    <w:p>
      <w:pPr>
        <w:pStyle w:val="null3"/>
        <w:jc w:val="left"/>
      </w:pPr>
      <w:r>
        <w:rPr>
          <w:sz w:val="21"/>
        </w:rPr>
        <w:t>23.2</w:t>
      </w:r>
      <w:r>
        <w:rPr>
          <w:sz w:val="21"/>
        </w:rPr>
        <w:t>乙方的违约责任</w:t>
      </w:r>
    </w:p>
    <w:p>
      <w:pPr>
        <w:pStyle w:val="null3"/>
        <w:jc w:val="left"/>
      </w:pPr>
      <w:r>
        <w:rPr>
          <w:sz w:val="21"/>
        </w:rPr>
        <w:t>23.2.1</w:t>
      </w:r>
      <w:r>
        <w:rPr>
          <w:sz w:val="21"/>
        </w:rPr>
        <w:t>甲方有权对乙方的履约能力进行核实，如乙方存在提供虚假材料谋取中标、未实质性响应招标文件、以任何形式转让合同权利义务、借用他人资质名义、名实不符等不具备或丧失履约能力的情形，甲方不向乙方支付任何费用，乙方应无条件退场，并按照总托管服务费用的</w:t>
      </w:r>
      <w:r>
        <w:rPr>
          <w:sz w:val="21"/>
        </w:rPr>
        <w:t>1%</w:t>
      </w:r>
      <w:r>
        <w:rPr>
          <w:sz w:val="21"/>
        </w:rPr>
        <w:t>向甲方承担违约金及损失赔偿责任。</w:t>
      </w:r>
    </w:p>
    <w:p>
      <w:pPr>
        <w:pStyle w:val="null3"/>
        <w:jc w:val="left"/>
      </w:pPr>
      <w:r>
        <w:rPr>
          <w:sz w:val="21"/>
        </w:rPr>
        <w:t>23.2.2</w:t>
      </w:r>
      <w:r>
        <w:rPr>
          <w:sz w:val="21"/>
        </w:rPr>
        <w:t>如乙方出现逾期制定节能改造方案、节能改造逾期、节能改造未达标（本合同约定标准）的，甲方有权要求乙方限期整改，整改期限内仍未完成的，甲方不向乙方支付任何费用，乙方应无条件退场、拆除已安装设施设备并恢复原状，并按照总托管服务费用的</w:t>
      </w:r>
      <w:r>
        <w:rPr>
          <w:sz w:val="21"/>
        </w:rPr>
        <w:t>1%</w:t>
      </w:r>
      <w:r>
        <w:rPr>
          <w:sz w:val="21"/>
        </w:rPr>
        <w:t>向甲方承担违约金及损失赔偿责任。</w:t>
      </w:r>
    </w:p>
    <w:p>
      <w:pPr>
        <w:pStyle w:val="null3"/>
        <w:jc w:val="left"/>
      </w:pPr>
      <w:r>
        <w:rPr>
          <w:sz w:val="21"/>
        </w:rPr>
        <w:t>23.2.3</w:t>
      </w:r>
      <w:r>
        <w:rPr>
          <w:sz w:val="21"/>
        </w:rPr>
        <w:t>项目托管期内，甲方拟按定期绩效考核与临时绩效考核相结合的方式开展绩效考核，并</w:t>
      </w:r>
    </w:p>
    <w:p>
      <w:pPr>
        <w:pStyle w:val="null3"/>
        <w:jc w:val="left"/>
      </w:pPr>
      <w:r>
        <w:rPr>
          <w:sz w:val="21"/>
        </w:rPr>
        <w:t>根据绩效考核结果扣减托管服务费。《项目绩效考核方案》详见</w:t>
      </w:r>
      <w:r>
        <w:rPr>
          <w:sz w:val="21"/>
        </w:rPr>
        <w:t>“附件五”。</w:t>
      </w:r>
    </w:p>
    <w:p>
      <w:pPr>
        <w:pStyle w:val="null3"/>
        <w:jc w:val="left"/>
      </w:pPr>
      <w:r>
        <w:rPr>
          <w:sz w:val="21"/>
        </w:rPr>
        <w:t>23.2.4</w:t>
      </w:r>
      <w:r>
        <w:rPr>
          <w:sz w:val="21"/>
        </w:rPr>
        <w:t>如因乙方原因导致城市照明供电中断、运行异常等严重影响公共利益或公共安全的，甲方有权自行或指定主体对城市照明设施进行临时接管，乙方应无条件退场，按照总托管服务费用的</w:t>
      </w:r>
      <w:r>
        <w:rPr>
          <w:sz w:val="21"/>
        </w:rPr>
        <w:t>1%</w:t>
      </w:r>
      <w:r>
        <w:rPr>
          <w:sz w:val="21"/>
        </w:rPr>
        <w:t>向甲方承担违约金及损失赔偿责任。涉嫌刑事犯罪的，移交司法机关追究刑事责任。</w:t>
      </w:r>
    </w:p>
    <w:p>
      <w:pPr>
        <w:pStyle w:val="null3"/>
        <w:jc w:val="left"/>
      </w:pPr>
      <w:r>
        <w:rPr>
          <w:sz w:val="21"/>
        </w:rPr>
        <w:t>23.2.5</w:t>
      </w:r>
      <w:r>
        <w:rPr>
          <w:sz w:val="21"/>
        </w:rPr>
        <w:t>本合同约定的损失赔偿范围包括但不限于照明设施逾期节能改造导致电费超额支出（自逾期之日起至节能改造验收合格之日止按每日</w:t>
      </w:r>
      <w:r>
        <w:rPr>
          <w:sz w:val="21"/>
        </w:rPr>
        <w:t>7</w:t>
      </w:r>
      <w:r>
        <w:rPr>
          <w:sz w:val="21"/>
        </w:rPr>
        <w:t>万元计算）、公证费、鉴定费、律师代理费、交通差旅费、担保费等。</w:t>
      </w:r>
    </w:p>
    <w:p>
      <w:pPr>
        <w:pStyle w:val="null3"/>
        <w:jc w:val="left"/>
      </w:pPr>
      <w:r>
        <w:rPr>
          <w:sz w:val="21"/>
        </w:rPr>
        <w:t>23.2.6</w:t>
      </w:r>
      <w:r>
        <w:rPr>
          <w:sz w:val="21"/>
        </w:rPr>
        <w:t>本合同约定的应由乙方承担的违约金，甲方有权根据从应付给乙方的托管服务费中扣除，或者直接扣除（提取）履约担保的相应金额。</w:t>
      </w:r>
    </w:p>
    <w:p>
      <w:pPr>
        <w:pStyle w:val="null3"/>
        <w:jc w:val="left"/>
      </w:pPr>
      <w:r>
        <w:rPr>
          <w:sz w:val="21"/>
          <w:b/>
        </w:rPr>
        <w:t>第二十四条不可抗力</w:t>
      </w:r>
    </w:p>
    <w:p>
      <w:pPr>
        <w:pStyle w:val="null3"/>
        <w:jc w:val="left"/>
      </w:pPr>
      <w:r>
        <w:rPr>
          <w:sz w:val="21"/>
        </w:rPr>
        <w:t>24.1</w:t>
      </w:r>
      <w:r>
        <w:rPr>
          <w:sz w:val="21"/>
        </w:rPr>
        <w:t>由于地震、水灾、战争、暴乱及其他不能预见并且对其发生和后果不能避免并不能克服的不可抗力事件，直接导致本合同及附件的全部或部分不能履行时，遇有不可抗力事件的一方应当立即将详细情况通知另一方，并随后提供事件详情的有效证明文件。按照不可抗力事件对履行合同的影响程度，由甲、乙双方协商确定延期履行或终止合同。</w:t>
      </w:r>
    </w:p>
    <w:p>
      <w:pPr>
        <w:pStyle w:val="null3"/>
        <w:jc w:val="left"/>
      </w:pPr>
      <w:r>
        <w:rPr>
          <w:sz w:val="21"/>
        </w:rPr>
        <w:t>24.2</w:t>
      </w:r>
      <w:r>
        <w:rPr>
          <w:sz w:val="21"/>
        </w:rPr>
        <w:t>遇有不可抗力事件的一方可以中止履行直至不可抗力事件结束，但中止最长时间不超过</w:t>
      </w:r>
      <w:r>
        <w:rPr>
          <w:sz w:val="21"/>
        </w:rPr>
        <w:t>90</w:t>
      </w:r>
      <w:r>
        <w:rPr>
          <w:sz w:val="21"/>
        </w:rPr>
        <w:t>天，超过</w:t>
      </w:r>
      <w:r>
        <w:rPr>
          <w:sz w:val="21"/>
        </w:rPr>
        <w:t>90</w:t>
      </w:r>
      <w:r>
        <w:rPr>
          <w:sz w:val="21"/>
        </w:rPr>
        <w:t>天，终止本合同的履行。</w:t>
      </w:r>
    </w:p>
    <w:p>
      <w:pPr>
        <w:pStyle w:val="null3"/>
        <w:jc w:val="left"/>
      </w:pPr>
      <w:r>
        <w:rPr>
          <w:sz w:val="21"/>
        </w:rPr>
        <w:t>24.3</w:t>
      </w:r>
      <w:r>
        <w:rPr>
          <w:sz w:val="21"/>
        </w:rPr>
        <w:t>遇有不可抗力事件的一方可以在通知另一方后</w:t>
      </w:r>
      <w:r>
        <w:rPr>
          <w:sz w:val="21"/>
        </w:rPr>
        <w:t>10</w:t>
      </w:r>
      <w:r>
        <w:rPr>
          <w:sz w:val="21"/>
        </w:rPr>
        <w:t>日内终止合同，任何一方将不对另一方继续承担义务，但甲方和乙方应当据实结算托管服务费用。仅发生不可抗力事件并不能必然减轻或影响具有付款义务的一方向另一方付款。</w:t>
      </w:r>
    </w:p>
    <w:p>
      <w:pPr>
        <w:pStyle w:val="null3"/>
        <w:jc w:val="left"/>
      </w:pPr>
      <w:r>
        <w:rPr>
          <w:sz w:val="21"/>
        </w:rPr>
        <w:t>24.4</w:t>
      </w:r>
      <w:r>
        <w:rPr>
          <w:sz w:val="21"/>
        </w:rPr>
        <w:t>遇有不可抗力事件的一方应采取措施，避免损失的扩大。如果因为未采取相应的措施而导致损失扩大，应向另一方承担赔偿责任。</w:t>
      </w:r>
    </w:p>
    <w:p>
      <w:pPr>
        <w:pStyle w:val="null3"/>
        <w:jc w:val="left"/>
      </w:pPr>
      <w:r>
        <w:rPr>
          <w:sz w:val="21"/>
          <w:b/>
        </w:rPr>
        <w:t>第二十五条法律适用和争议解决</w:t>
      </w:r>
    </w:p>
    <w:p>
      <w:pPr>
        <w:pStyle w:val="null3"/>
        <w:jc w:val="left"/>
      </w:pPr>
      <w:r>
        <w:rPr>
          <w:sz w:val="21"/>
        </w:rPr>
        <w:t>25.1</w:t>
      </w:r>
      <w:r>
        <w:rPr>
          <w:sz w:val="21"/>
        </w:rPr>
        <w:t>本合同的订立、履行和解释，应遵守中华人民共和国法律、法规，并应遵守行业惯例。</w:t>
      </w:r>
    </w:p>
    <w:p>
      <w:pPr>
        <w:pStyle w:val="null3"/>
        <w:jc w:val="left"/>
      </w:pPr>
      <w:r>
        <w:rPr>
          <w:sz w:val="21"/>
        </w:rPr>
        <w:t>25.2</w:t>
      </w:r>
      <w:r>
        <w:rPr>
          <w:sz w:val="21"/>
        </w:rPr>
        <w:t>因本合同的履行、解释等引起的争议，双方应友好协商解决。如协商不成的，任何一方均可选择依法向项目所在地有管辖权的人民法院提起诉讼。</w:t>
      </w:r>
    </w:p>
    <w:p>
      <w:pPr>
        <w:pStyle w:val="null3"/>
        <w:jc w:val="left"/>
      </w:pPr>
      <w:r>
        <w:rPr>
          <w:sz w:val="21"/>
          <w:b/>
        </w:rPr>
        <w:t>第二十六条合同的生效及其他</w:t>
      </w:r>
    </w:p>
    <w:p>
      <w:pPr>
        <w:pStyle w:val="null3"/>
        <w:jc w:val="left"/>
      </w:pPr>
      <w:r>
        <w:rPr>
          <w:sz w:val="21"/>
        </w:rPr>
        <w:t>26.1</w:t>
      </w:r>
      <w:r>
        <w:rPr>
          <w:sz w:val="21"/>
        </w:rPr>
        <w:t>本合同自年月日生效。</w:t>
      </w:r>
    </w:p>
    <w:p>
      <w:pPr>
        <w:pStyle w:val="null3"/>
        <w:jc w:val="left"/>
      </w:pPr>
      <w:r>
        <w:rPr>
          <w:sz w:val="21"/>
        </w:rPr>
        <w:t>26.2</w:t>
      </w:r>
      <w:r>
        <w:rPr>
          <w:sz w:val="21"/>
        </w:rPr>
        <w:t>本合同一式六份，甲、乙双方各执三份，具有同等法律效力。</w:t>
      </w:r>
    </w:p>
    <w:p>
      <w:pPr>
        <w:pStyle w:val="null3"/>
        <w:jc w:val="left"/>
      </w:pPr>
      <w:r>
        <w:rPr>
          <w:sz w:val="21"/>
        </w:rPr>
        <w:t>26.3</w:t>
      </w:r>
      <w:r>
        <w:rPr>
          <w:sz w:val="21"/>
        </w:rPr>
        <w:t>本合同的附件为本合同不可分割的组成部分，与本合同具有同等效力。</w:t>
      </w:r>
    </w:p>
    <w:p>
      <w:pPr>
        <w:pStyle w:val="null3"/>
        <w:jc w:val="left"/>
      </w:pPr>
      <w:r>
        <w:rPr>
          <w:sz w:val="21"/>
        </w:rPr>
        <w:t>26.4</w:t>
      </w:r>
      <w:r>
        <w:rPr>
          <w:sz w:val="21"/>
        </w:rPr>
        <w:t>甲、乙双方发送给对方的通知，如用电话、微信、传真、电子邮件等形式发送通知时，凡涉及各方权利义务的，应随之以书面形式通知对方。本合同中所列甲、乙双方的地址即为甲、乙双方的收件地址。如果任何一方地址发生变化，应在</w:t>
      </w:r>
      <w:r>
        <w:rPr>
          <w:sz w:val="21"/>
        </w:rPr>
        <w:t>15</w:t>
      </w:r>
      <w:r>
        <w:rPr>
          <w:sz w:val="21"/>
        </w:rPr>
        <w:t>日内书面通知对方。</w:t>
      </w:r>
    </w:p>
    <w:p>
      <w:pPr>
        <w:pStyle w:val="null3"/>
        <w:jc w:val="left"/>
      </w:pPr>
      <w:r>
        <w:rPr>
          <w:sz w:val="21"/>
        </w:rPr>
        <w:t>附件共八份</w:t>
      </w:r>
    </w:p>
    <w:p>
      <w:pPr>
        <w:pStyle w:val="null3"/>
        <w:jc w:val="left"/>
      </w:pPr>
      <w:r>
        <w:rPr>
          <w:sz w:val="21"/>
        </w:rPr>
        <w:t>附件一：城市照明设施及其附属设施清单</w:t>
      </w:r>
    </w:p>
    <w:p>
      <w:pPr>
        <w:pStyle w:val="null3"/>
        <w:jc w:val="left"/>
      </w:pPr>
      <w:r>
        <w:rPr>
          <w:sz w:val="21"/>
        </w:rPr>
        <w:t>附件二：能源审计报告</w:t>
      </w:r>
    </w:p>
    <w:p>
      <w:pPr>
        <w:pStyle w:val="null3"/>
        <w:jc w:val="left"/>
      </w:pPr>
      <w:r>
        <w:rPr>
          <w:sz w:val="21"/>
        </w:rPr>
        <w:t>附件三：场地、车辆、办公设备移交清单</w:t>
      </w:r>
    </w:p>
    <w:p>
      <w:pPr>
        <w:pStyle w:val="null3"/>
        <w:jc w:val="left"/>
      </w:pPr>
      <w:r>
        <w:rPr>
          <w:sz w:val="21"/>
        </w:rPr>
        <w:t>附件四：</w:t>
      </w:r>
      <w:r>
        <w:rPr>
          <w:sz w:val="20"/>
        </w:rPr>
        <w:t>古镇节能改造产品技术参数</w:t>
      </w:r>
    </w:p>
    <w:p>
      <w:pPr>
        <w:pStyle w:val="null3"/>
        <w:jc w:val="left"/>
      </w:pPr>
      <w:r>
        <w:rPr>
          <w:sz w:val="21"/>
        </w:rPr>
        <w:t>附件五：项目绩效考核方案</w:t>
      </w:r>
    </w:p>
    <w:p>
      <w:pPr>
        <w:pStyle w:val="null3"/>
        <w:jc w:val="left"/>
      </w:pPr>
      <w:r>
        <w:rPr/>
        <w:t xml:space="preserve"> </w:t>
      </w:r>
    </w:p>
    <w:p>
      <w:pPr>
        <w:pStyle w:val="null3"/>
        <w:jc w:val="left"/>
      </w:pPr>
      <w:r>
        <w:rPr>
          <w:sz w:val="21"/>
        </w:rPr>
        <w:t>（以下无正文）</w:t>
      </w:r>
    </w:p>
    <w:p>
      <w:pPr>
        <w:pStyle w:val="null3"/>
        <w:jc w:val="left"/>
      </w:pPr>
      <w:r>
        <w:rPr/>
        <w:t xml:space="preserve"> </w:t>
      </w:r>
    </w:p>
    <w:p>
      <w:pPr>
        <w:pStyle w:val="null3"/>
        <w:jc w:val="left"/>
      </w:pPr>
      <w:r>
        <w:rPr/>
        <w:t xml:space="preserve"> </w:t>
      </w:r>
    </w:p>
    <w:p>
      <w:pPr>
        <w:pStyle w:val="null3"/>
        <w:jc w:val="left"/>
      </w:pPr>
      <w:r>
        <w:rPr>
          <w:sz w:val="21"/>
        </w:rPr>
        <w:t>甲方：中山市古镇镇综合行政执法局</w:t>
      </w:r>
      <w:r>
        <w:rPr>
          <w:sz w:val="21"/>
        </w:rPr>
        <w:t xml:space="preserve">                                    </w:t>
      </w:r>
      <w:r>
        <w:rPr>
          <w:sz w:val="21"/>
        </w:rPr>
        <w:t>乙方：</w:t>
      </w:r>
    </w:p>
    <w:p>
      <w:pPr>
        <w:pStyle w:val="null3"/>
        <w:jc w:val="left"/>
      </w:pPr>
      <w:r>
        <w:rPr>
          <w:sz w:val="21"/>
        </w:rPr>
        <w:t>(</w:t>
      </w:r>
      <w:r>
        <w:rPr>
          <w:sz w:val="21"/>
        </w:rPr>
        <w:t>盖章</w:t>
      </w:r>
      <w:r>
        <w:rPr>
          <w:sz w:val="21"/>
        </w:rPr>
        <w:t>)                                                                                 (</w:t>
      </w:r>
      <w:r>
        <w:rPr>
          <w:sz w:val="21"/>
        </w:rPr>
        <w:t>盖章</w:t>
      </w:r>
      <w:r>
        <w:rPr>
          <w:sz w:val="21"/>
        </w:rPr>
        <w:t>)</w:t>
      </w:r>
    </w:p>
    <w:p>
      <w:pPr>
        <w:pStyle w:val="null3"/>
        <w:jc w:val="left"/>
      </w:pPr>
      <w:r>
        <w:rPr>
          <w:sz w:val="21"/>
        </w:rPr>
        <w:t>法定代表人</w:t>
      </w:r>
      <w:r>
        <w:rPr>
          <w:sz w:val="21"/>
        </w:rPr>
        <w:t>/</w:t>
      </w:r>
      <w:r>
        <w:rPr>
          <w:sz w:val="21"/>
        </w:rPr>
        <w:t>授权代表签字：                                                法定代表人</w:t>
      </w:r>
      <w:r>
        <w:rPr>
          <w:sz w:val="21"/>
        </w:rPr>
        <w:t>/</w:t>
      </w:r>
      <w:r>
        <w:rPr>
          <w:sz w:val="21"/>
        </w:rPr>
        <w:t>授权代表签字：</w:t>
      </w:r>
    </w:p>
    <w:p>
      <w:pPr>
        <w:pStyle w:val="null3"/>
        <w:jc w:val="left"/>
      </w:pPr>
      <w:r>
        <w:rPr>
          <w:sz w:val="21"/>
        </w:rPr>
        <w:t>日期：</w:t>
      </w:r>
      <w:r>
        <w:rPr>
          <w:sz w:val="21"/>
        </w:rPr>
        <w:t xml:space="preserve">                                                                                 </w:t>
      </w:r>
      <w:r>
        <w:rPr>
          <w:sz w:val="21"/>
        </w:rPr>
        <w:t>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442000105-2025-00016</w:t>
      </w:r>
    </w:p>
    <w:p>
      <w:pPr>
        <w:pStyle w:val="null3"/>
        <w:jc w:val="center"/>
        <w:outlineLvl w:val="3"/>
      </w:pPr>
      <w:r>
        <w:rPr>
          <w:sz w:val="24"/>
          <w:b/>
        </w:rPr>
        <w:t>采购项目编号：</w:t>
      </w:r>
      <w:r>
        <w:rPr>
          <w:sz w:val="24"/>
          <w:b/>
        </w:rPr>
        <w:t>BZCG20250206C03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博众工程咨询有限公司中山分公司</w:t>
      </w:r>
    </w:p>
    <w:p>
      <w:pPr>
        <w:pStyle w:val="null3"/>
        <w:ind w:firstLine="480"/>
      </w:pPr>
      <w:r>
        <w:rPr/>
        <w:t xml:space="preserve"> 你方组织的</w:t>
      </w:r>
      <w:r>
        <w:rPr>
          <w:u w:val="single"/>
        </w:rPr>
        <w:t>“</w:t>
      </w:r>
      <w:r>
        <w:rPr>
          <w:u w:val="single"/>
        </w:rPr>
        <w:t>中山市古镇镇市政路灯改造项目(二次)</w:t>
      </w:r>
      <w:r>
        <w:rPr>
          <w:u w:val="single"/>
        </w:rPr>
        <w:t>”</w:t>
      </w:r>
      <w:r>
        <w:rPr/>
        <w:t>项目的招标[采购项目编号为：</w:t>
      </w:r>
      <w:r>
        <w:rPr>
          <w:u w:val="single"/>
        </w:rPr>
        <w:t>BZCG20250206C03</w:t>
      </w:r>
      <w:r>
        <w:rPr/>
        <w:t>]，我方愿参与投标。</w:t>
      </w:r>
    </w:p>
    <w:p>
      <w:pPr>
        <w:pStyle w:val="null3"/>
        <w:ind w:firstLine="480"/>
      </w:pPr>
      <w:r>
        <w:rPr/>
        <w:t>我方确认收到贵方提供的</w:t>
      </w:r>
      <w:r>
        <w:rPr>
          <w:u w:val="single"/>
        </w:rPr>
        <w:t>“</w:t>
      </w:r>
      <w:r>
        <w:rPr>
          <w:u w:val="single"/>
        </w:rPr>
        <w:t>中山市古镇镇市政路灯改造项目(二次)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博众工程咨询有限公司中山分公司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中山市古镇镇市政路灯改造项目(二次)</w:t>
      </w:r>
      <w:r>
        <w:rPr/>
        <w:t>”项目采购[采购项目编号为</w:t>
      </w:r>
      <w:r>
        <w:rPr/>
        <w:t>BZCG20250206C03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中山市古镇镇综合行政执法局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博众工程咨询有限公司中山分公司</w:t>
      </w:r>
    </w:p>
    <w:p>
      <w:pPr>
        <w:pStyle w:val="null3"/>
        <w:ind w:firstLine="480"/>
      </w:pPr>
      <w:r>
        <w:rPr/>
        <w:t xml:space="preserve"> 如果我方在贵采购代理机构组织的</w:t>
      </w:r>
      <w:r>
        <w:rPr/>
        <w:t>中山市古镇镇市政路灯改造项目(二次)</w:t>
      </w:r>
      <w:r>
        <w:rPr/>
        <w:t>招标中获中标（采购项目编号：</w:t>
      </w:r>
      <w:r>
        <w:rPr/>
        <w:t>BZCG20250206C03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博众工程咨询有限公司中山分公司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博众工程咨询有限公司中山分公司</w:t>
      </w:r>
    </w:p>
    <w:p>
      <w:pPr>
        <w:pStyle w:val="null3"/>
        <w:ind w:firstLine="480"/>
      </w:pPr>
      <w:r>
        <w:rPr/>
        <w:t>我单位已登记并准备参与“</w:t>
      </w:r>
      <w:r>
        <w:rPr/>
        <w:t>中山市古镇镇市政路灯改造项目(二次)</w:t>
      </w:r>
      <w:r>
        <w:rPr/>
        <w:t>”项目（采购项目编号：</w:t>
      </w:r>
      <w:r>
        <w:rPr/>
        <w:t>BZCG20250206C03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