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4</w:t>
      </w:r>
    </w:p>
    <w:p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/>
    <w:p/>
    <w:p/>
    <w:p/>
    <w:p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C000392"/>
    <w:rsid w:val="12A37F2D"/>
    <w:rsid w:val="4ECE9ABA"/>
    <w:rsid w:val="5C00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98</Characters>
  <Lines>0</Lines>
  <Paragraphs>0</Paragraphs>
  <TotalTime>0</TotalTime>
  <ScaleCrop>false</ScaleCrop>
  <LinksUpToDate>false</LinksUpToDate>
  <CharactersWithSpaces>134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2024-05-16T19:46:00Z</dcterms:created>
  <dc:creator>般若波罗蜜</dc:creator>
  <cp:lastModifiedBy>kylin</cp:lastModifiedBy>
  <dcterms:modified xsi:type="dcterms:W3CDTF">2025-03-31T17:09:09Z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08499EAF27B74558ADC807AF0FA36A2F_11</vt:lpwstr>
  </property>
  <property fmtid="{D5CDD505-2E9C-101B-9397-08002B2CF9AE}" pid="4" name="KSOTemplateDocerSaveRecord">
    <vt:lpwstr>eyJoZGlkIjoiZGNmZGZhOGMwMzkwOGQwMGZlMGRmNjhmM2YxNjQxYjkiLCJ1c2VySWQiOiI4MTg1OTg5MjkifQ==</vt:lpwstr>
  </property>
</Properties>
</file>