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framePr w:wrap="around" w:hAnchor="page" w:x="1431" w:y="14090"/>
        <w:rPr>
          <w:rFonts w:eastAsia="宋体"/>
          <w:color w:val="auto"/>
        </w:rPr>
      </w:pPr>
      <w:r>
        <w:rPr>
          <w:rFonts w:hint="eastAsia" w:ascii="黑体" w:hAnsi="黑体" w:cs="黑体"/>
          <w:color w:val="auto"/>
          <w:szCs w:val="22"/>
          <w:lang w:val="en-US" w:eastAsia="zh-CN"/>
        </w:rPr>
        <w:t>XXXX</w:t>
      </w:r>
      <w:r>
        <w:rPr>
          <w:rFonts w:hint="eastAsia" w:ascii="黑体" w:hAnsi="黑体" w:cs="黑体"/>
          <w:color w:val="auto"/>
          <w:szCs w:val="22"/>
        </w:rPr>
        <w:t>-</w:t>
      </w:r>
      <w:r>
        <w:rPr>
          <w:rFonts w:hint="eastAsia" w:ascii="黑体" w:hAnsi="黑体" w:cs="黑体"/>
          <w:color w:val="auto"/>
          <w:szCs w:val="22"/>
          <w:lang w:val="en-US" w:eastAsia="zh-CN"/>
        </w:rPr>
        <w:t>XX</w:t>
      </w:r>
      <w:r>
        <w:rPr>
          <w:rFonts w:hint="eastAsia" w:ascii="黑体" w:hAnsi="黑体" w:cs="黑体"/>
          <w:color w:val="auto"/>
          <w:szCs w:val="22"/>
        </w:rPr>
        <w:t>-</w:t>
      </w:r>
      <w:r>
        <w:rPr>
          <w:rFonts w:hint="eastAsia" w:ascii="黑体" w:hAnsi="黑体" w:cs="黑体"/>
          <w:color w:val="auto"/>
          <w:szCs w:val="22"/>
          <w:lang w:val="en-US" w:eastAsia="zh-CN"/>
        </w:rPr>
        <w:t>XX</w:t>
      </w:r>
      <w:r>
        <w:rPr>
          <w:rFonts w:hint="eastAsia" w:ascii="黑体" w:hAnsi="黑体" w:cs="黑体"/>
          <w:color w:val="auto"/>
        </w:rPr>
        <w:t>发布</w:t>
      </w:r>
    </w:p>
    <w:p>
      <w:pPr>
        <w:pStyle w:val="105"/>
        <w:framePr w:wrap="around" w:hAnchor="page" w:x="7090" w:y="14075"/>
        <w:rPr>
          <w:rFonts w:ascii="黑体" w:hAnsi="黑体" w:cs="黑体"/>
          <w:color w:val="auto"/>
        </w:rPr>
      </w:pPr>
      <w:r>
        <w:rPr>
          <w:rFonts w:hint="eastAsia" w:ascii="黑体" w:hAnsi="黑体" w:cs="黑体"/>
          <w:color w:val="auto"/>
          <w:szCs w:val="22"/>
          <w:lang w:val="en-US" w:eastAsia="zh-CN"/>
        </w:rPr>
        <w:t>XXXX</w:t>
      </w:r>
      <w:r>
        <w:rPr>
          <w:rFonts w:hint="eastAsia" w:ascii="黑体" w:hAnsi="黑体" w:cs="黑体"/>
          <w:color w:val="auto"/>
          <w:szCs w:val="22"/>
        </w:rPr>
        <w:t>-</w:t>
      </w:r>
      <w:r>
        <w:rPr>
          <w:rFonts w:hint="eastAsia" w:ascii="黑体" w:hAnsi="黑体" w:cs="黑体"/>
          <w:color w:val="auto"/>
          <w:szCs w:val="22"/>
          <w:lang w:val="en-US" w:eastAsia="zh-CN"/>
        </w:rPr>
        <w:t>XX</w:t>
      </w:r>
      <w:r>
        <w:rPr>
          <w:rFonts w:hint="eastAsia" w:ascii="黑体" w:hAnsi="黑体" w:cs="黑体"/>
          <w:color w:val="auto"/>
          <w:szCs w:val="22"/>
        </w:rPr>
        <w:t>-</w:t>
      </w:r>
      <w:r>
        <w:rPr>
          <w:rFonts w:hint="eastAsia" w:ascii="黑体" w:hAnsi="黑体" w:cs="黑体"/>
          <w:color w:val="auto"/>
          <w:szCs w:val="22"/>
          <w:lang w:val="en-US" w:eastAsia="zh-CN"/>
        </w:rPr>
        <w:t>XX</w:t>
      </w:r>
      <w:r>
        <w:rPr>
          <w:rFonts w:hint="eastAsia" w:ascii="黑体" w:hAnsi="黑体" w:cs="黑体"/>
          <w:color w:val="auto"/>
        </w:rPr>
        <w:t>实施</w:t>
      </w:r>
    </w:p>
    <w:p>
      <w:pPr>
        <w:pStyle w:val="85"/>
        <w:rPr>
          <w:rFonts w:hint="default" w:hAnsi="黑体" w:eastAsia="黑体" w:cs="黑体"/>
          <w:color w:val="000000"/>
          <w:lang w:val="en-US" w:eastAsia="zh-CN"/>
        </w:rPr>
      </w:pPr>
      <w:r>
        <w:rPr>
          <w:rFonts w:hint="eastAsia" w:hAnsi="黑体" w:cs="黑体"/>
          <w:color w:val="000000"/>
        </w:rPr>
        <w:t>ICS</w:t>
      </w:r>
      <w:r>
        <w:rPr>
          <w:rFonts w:hAnsi="黑体" w:cs="黑体"/>
          <w:color w:val="000000"/>
        </w:rPr>
        <w:t xml:space="preserve"> </w:t>
      </w:r>
      <w:r>
        <w:rPr>
          <w:rFonts w:hint="eastAsia"/>
          <w:color w:val="000000"/>
        </w:rPr>
        <w:t>03.</w:t>
      </w:r>
      <w:r>
        <w:rPr>
          <w:rFonts w:hint="eastAsia"/>
          <w:color w:val="000000"/>
          <w:lang w:val="en-US" w:eastAsia="zh-CN"/>
        </w:rPr>
        <w:t>1</w:t>
      </w:r>
      <w:r>
        <w:rPr>
          <w:rFonts w:hint="eastAsia"/>
          <w:color w:val="000000"/>
        </w:rPr>
        <w:t>00</w:t>
      </w:r>
      <w:r>
        <w:rPr>
          <w:rFonts w:hint="eastAsia"/>
          <w:color w:val="000000"/>
          <w:lang w:val="en-US" w:eastAsia="zh-CN"/>
        </w:rPr>
        <w:t>.01</w:t>
      </w:r>
    </w:p>
    <w:p>
      <w:pPr>
        <w:pStyle w:val="85"/>
        <w:rPr>
          <w:rFonts w:hint="eastAsia" w:hAnsi="黑体" w:eastAsia="黑体" w:cs="黑体"/>
          <w:color w:val="000000"/>
          <w:lang w:eastAsia="zh-CN"/>
        </w:rPr>
      </w:pPr>
      <w:r>
        <w:rPr>
          <w:rFonts w:hint="eastAsia" w:hAnsi="黑体" w:cs="黑体"/>
          <w:color w:val="000000"/>
        </w:rPr>
        <w:t>CCS</w:t>
      </w:r>
      <w:r>
        <w:rPr>
          <w:rFonts w:hAnsi="黑体" w:cs="黑体"/>
          <w:color w:val="000000"/>
        </w:rPr>
        <w:t xml:space="preserve"> </w:t>
      </w:r>
      <w:r>
        <w:rPr>
          <w:rFonts w:hint="eastAsia"/>
          <w:color w:val="000000"/>
        </w:rPr>
        <w:t>A</w:t>
      </w:r>
      <w:r>
        <w:rPr>
          <w:color w:val="000000"/>
        </w:rPr>
        <w:t xml:space="preserve"> </w:t>
      </w:r>
      <w:r>
        <w:rPr>
          <w:rFonts w:hint="eastAsia"/>
          <w:color w:val="000000"/>
        </w:rPr>
        <w:t>1</w:t>
      </w:r>
      <w:r>
        <w:rPr>
          <w:rFonts w:hint="eastAsia"/>
          <w:color w:val="000000"/>
          <w:lang w:val="en-US" w:eastAsia="zh-CN"/>
        </w:rPr>
        <w:t>0</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85"/>
              <w:rPr>
                <w:color w:val="000000"/>
              </w:rPr>
            </w:pPr>
          </w:p>
        </w:tc>
      </w:tr>
    </w:tbl>
    <w:p>
      <w:pPr>
        <w:pStyle w:val="132"/>
        <w:rPr>
          <w:rFonts w:hint="eastAsia"/>
          <w:color w:val="000000"/>
          <w:sz w:val="72"/>
          <w:szCs w:val="72"/>
        </w:rPr>
      </w:pPr>
      <w:r>
        <w:rPr>
          <w:rFonts w:hint="eastAsia"/>
          <w:color w:val="000000"/>
        </w:rPr>
        <w:t>中山市地方标准</w:t>
      </w:r>
    </w:p>
    <w:p>
      <w:pPr>
        <w:pStyle w:val="117"/>
        <w:rPr>
          <w:rFonts w:hAnsi="黑体"/>
          <w:color w:val="000000"/>
        </w:rPr>
      </w:pP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17"/>
              <w:spacing w:before="240" w:line="240" w:lineRule="exact"/>
              <w:rPr>
                <w:color w:val="000000"/>
              </w:rPr>
            </w:pPr>
            <w:bookmarkStart w:id="0" w:name="DT"/>
            <w:r>
              <w:rPr>
                <w:rFonts w:hint="eastAsia" w:hAnsi="黑体"/>
                <w:color w:val="000000"/>
                <w:lang w:val="en-US" w:eastAsia="zh-CN"/>
              </w:rPr>
              <w:t>XX</w:t>
            </w:r>
            <w:r>
              <w:rPr>
                <w:rFonts w:hAnsi="黑体"/>
                <w:color w:val="000000"/>
              </w:rPr>
              <w:t>/</w:t>
            </w:r>
            <w:r>
              <w:rPr>
                <w:rFonts w:hint="eastAsia" w:hAnsi="黑体"/>
                <w:color w:val="000000"/>
                <w:lang w:val="en-US" w:eastAsia="zh-CN"/>
              </w:rPr>
              <w:t>XX</w:t>
            </w:r>
            <w:r>
              <w:rPr>
                <w:rFonts w:hAnsi="黑体"/>
                <w:color w:val="000000"/>
              </w:rPr>
              <w:t xml:space="preserve"> </w:t>
            </w:r>
            <w:r>
              <w:rPr>
                <w:rFonts w:hint="eastAsia" w:hAnsi="黑体"/>
                <w:color w:val="000000"/>
                <w:lang w:val="en-US" w:eastAsia="zh-CN"/>
              </w:rPr>
              <w:t>XX</w:t>
            </w:r>
            <w:r>
              <w:rPr>
                <w:rFonts w:hint="eastAsia" w:hAnsi="黑体"/>
                <w:color w:val="000000"/>
              </w:rPr>
              <w:t>XX</w:t>
            </w:r>
            <w:r>
              <w:rPr>
                <w:rFonts w:hAnsi="黑体"/>
                <w:color w:val="000000"/>
              </w:rPr>
              <w:t>—</w:t>
            </w:r>
            <w:bookmarkEnd w:id="0"/>
            <w:r>
              <w:rPr>
                <w:rFonts w:hint="eastAsia" w:hAnsi="黑体"/>
                <w:color w:val="000000"/>
              </w:rPr>
              <w:t>XXX</w:t>
            </w:r>
            <w:r>
              <w:rPr>
                <w:rFonts w:hint="eastAsia"/>
                <w:color w:val="000000"/>
              </w:rPr>
              <w:t>X</w:t>
            </w:r>
          </w:p>
        </w:tc>
      </w:tr>
    </w:tbl>
    <w:p>
      <w:pPr>
        <w:pStyle w:val="117"/>
        <w:rPr>
          <w:rFonts w:hAnsi="黑体"/>
          <w:color w:val="000000"/>
        </w:rPr>
      </w:pPr>
    </w:p>
    <w:p>
      <w:pPr>
        <w:pStyle w:val="117"/>
        <w:rPr>
          <w:rFonts w:hAnsi="黑体"/>
          <w:color w:val="000000"/>
        </w:rPr>
      </w:pPr>
    </w:p>
    <w:p>
      <w:pPr>
        <w:pStyle w:val="112"/>
        <w:framePr w:wrap="around" w:vAnchor="page" w:hAnchor="page" w:x="1499" w:y="14052"/>
        <w:rPr>
          <w:color w:val="000000"/>
        </w:rPr>
      </w:pPr>
      <w:r>
        <w:rPr>
          <w:color w:val="000000"/>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2" name="直接连接符 1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HrXxf1AQAA5gMAAA4AAABkcnMvZTJvRG9jLnhtbK1TvY4T&#10;MRDukXgHyz3ZJOhOsMrmigtHgyAS8AAT27tryX/yONnkJXgBJDqoKOl5G+4eg7E3l4O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zDnzIGljt9+&#10;/vHr09e7n19ovf3+jZGHZBoC1hR97dbxuMOwjpnzvo02/4kN2xdpDydp1T4xQYeXM+L3nFQX977q&#10;4WKImF4rb1k2Gm60y6yhht0bTJSMQu9D8rFxbGj4y4v5BcEBjWBLrSfTBqKBrit30Rstb7Qx+QbG&#10;bnNtIttBHoPyZUqE+1dYTrIC7Me44hoHpFcgXznJ0iGQPo7eBc8lWCU5M4qeUbYIEOoE2pwTSamN&#10;owqyqqOO2dp4eaB2bEPUXU9KzEqV2UPtL/UeRzXP15/7gvTwP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WHazzWAAAACwEAAA8AAAAAAAAAAQAgAAAAIgAAAGRycy9kb3ducmV2LnhtbFBLAQIU&#10;ABQAAAAIAIdO4kAR618X9QEAAOYDAAAOAAAAAAAAAAEAIAAAACUBAABkcnMvZTJvRG9jLnhtbFBL&#10;BQYAAAAABgAGAFkBAACMBQAAAAA=&#10;">
                <v:fill on="f" focussize="0,0"/>
                <v:stroke color="#000000" joinstyle="round"/>
                <v:imagedata o:title=""/>
                <o:lock v:ext="edit" aspectratio="f"/>
                <w10:anchorlock/>
              </v:line>
            </w:pict>
          </mc:Fallback>
        </mc:AlternateContent>
      </w:r>
    </w:p>
    <w:p>
      <w:pPr>
        <w:pStyle w:val="98"/>
        <w:rPr>
          <w:color w:val="000000"/>
        </w:rPr>
      </w:pPr>
      <w:r>
        <w:rPr>
          <w:rFonts w:hint="eastAsia"/>
          <w:color w:val="000000"/>
        </w:rPr>
        <w:t>中山市市场监督管理局</w:t>
      </w:r>
      <w:r>
        <w:rPr>
          <w:rFonts w:hint="eastAsia" w:ascii="MS Mincho" w:hAnsi="MS Mincho" w:eastAsia="MS Mincho" w:cs="MS Mincho"/>
          <w:color w:val="000000"/>
        </w:rPr>
        <w:t>   </w:t>
      </w:r>
      <w:r>
        <w:rPr>
          <w:rStyle w:val="55"/>
          <w:rFonts w:hint="eastAsia"/>
          <w:color w:val="000000"/>
        </w:rPr>
        <w:t>发布</w:t>
      </w:r>
    </w:p>
    <w:p>
      <w:pPr>
        <w:pStyle w:val="139"/>
        <w:shd w:val="clear" w:color="FFFFFF" w:fill="FFFFFF"/>
        <w:rPr>
          <w:rFonts w:hint="eastAsia"/>
          <w:color w:val="000000"/>
        </w:rPr>
      </w:pPr>
      <w:r>
        <w:rPr>
          <w:color w:val="000000"/>
        </w:rPr>
        <w:drawing>
          <wp:inline distT="0" distB="0" distL="114300" distR="114300">
            <wp:extent cx="822960" cy="420370"/>
            <wp:effectExtent l="0" t="0" r="15240" b="1778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2"/>
                    <a:stretch>
                      <a:fillRect/>
                    </a:stretch>
                  </pic:blipFill>
                  <pic:spPr>
                    <a:xfrm>
                      <a:off x="0" y="0"/>
                      <a:ext cx="822960" cy="420370"/>
                    </a:xfrm>
                    <a:prstGeom prst="rect">
                      <a:avLst/>
                    </a:prstGeom>
                    <a:noFill/>
                    <a:ln>
                      <a:noFill/>
                    </a:ln>
                  </pic:spPr>
                </pic:pic>
              </a:graphicData>
            </a:graphic>
          </wp:inline>
        </w:drawing>
      </w:r>
      <w:r>
        <w:rPr>
          <w:color w:val="000000"/>
        </w:rPr>
        <w:t>4420</w:t>
      </w:r>
    </w:p>
    <w:p>
      <w:pPr>
        <w:pStyle w:val="78"/>
        <w:pBdr>
          <w:top w:val="none" w:color="auto" w:sz="0" w:space="0"/>
          <w:left w:val="none" w:color="auto" w:sz="0" w:space="0"/>
          <w:bottom w:val="none" w:color="auto" w:sz="0" w:space="0"/>
          <w:right w:val="none" w:color="auto" w:sz="0" w:space="0"/>
        </w:pBdr>
        <w:rPr>
          <w:rFonts w:hAnsi="黑体"/>
          <w:color w:val="auto"/>
          <w:sz w:val="44"/>
          <w:szCs w:val="16"/>
        </w:rPr>
      </w:pPr>
      <w:r>
        <w:rPr>
          <w:rFonts w:hint="eastAsia" w:hAnsi="黑体"/>
          <w:color w:val="auto"/>
          <w:sz w:val="44"/>
          <w:szCs w:val="16"/>
        </w:rPr>
        <w:t>餐饮服务单位节约经营</w:t>
      </w:r>
      <w:r>
        <w:rPr>
          <w:rFonts w:hint="eastAsia" w:hAnsi="黑体"/>
          <w:color w:val="auto"/>
          <w:sz w:val="44"/>
          <w:szCs w:val="16"/>
          <w:lang w:val="en-US" w:eastAsia="zh-CN"/>
        </w:rPr>
        <w:t>服务</w:t>
      </w:r>
      <w:r>
        <w:rPr>
          <w:rFonts w:hint="eastAsia" w:hAnsi="黑体"/>
          <w:color w:val="auto"/>
          <w:sz w:val="44"/>
          <w:szCs w:val="16"/>
        </w:rPr>
        <w:t>规范</w:t>
      </w:r>
    </w:p>
    <w:p>
      <w:pPr>
        <w:pStyle w:val="77"/>
        <w:pBdr>
          <w:top w:val="none" w:color="auto" w:sz="0" w:space="0"/>
          <w:left w:val="none" w:color="auto" w:sz="0" w:space="0"/>
          <w:bottom w:val="none" w:color="auto" w:sz="0" w:space="0"/>
          <w:right w:val="none" w:color="auto" w:sz="0" w:space="0"/>
        </w:pBdr>
        <w:rPr>
          <w:rFonts w:eastAsia="宋体"/>
          <w:color w:val="auto"/>
          <w:shd w:val="clear" w:color="auto" w:fill="F9F9F9"/>
        </w:rPr>
      </w:pPr>
      <w:r>
        <w:rPr>
          <w:rFonts w:hint="eastAsia"/>
          <w:color w:val="auto"/>
        </w:rPr>
        <w:t>Service</w:t>
      </w:r>
      <w:r>
        <w:rPr>
          <w:rFonts w:hint="eastAsia"/>
          <w:color w:val="auto"/>
          <w:lang w:val="en-US" w:eastAsia="zh-CN"/>
        </w:rPr>
        <w:t xml:space="preserve"> </w:t>
      </w:r>
      <w:r>
        <w:rPr>
          <w:rFonts w:hint="eastAsia" w:eastAsia="宋体"/>
          <w:color w:val="auto"/>
          <w:shd w:val="clear" w:color="auto" w:fill="F9F9F9"/>
          <w:lang w:val="en-US" w:eastAsia="zh-CN"/>
        </w:rPr>
        <w:t>s</w:t>
      </w:r>
      <w:r>
        <w:rPr>
          <w:rFonts w:hint="eastAsia" w:eastAsia="宋体"/>
          <w:color w:val="auto"/>
          <w:shd w:val="clear" w:color="auto" w:fill="F9F9F9"/>
        </w:rPr>
        <w:t>pecification</w:t>
      </w:r>
      <w:r>
        <w:rPr>
          <w:rFonts w:hint="eastAsia" w:eastAsia="宋体"/>
          <w:color w:val="auto"/>
          <w:shd w:val="clear" w:color="auto" w:fill="F9F9F9"/>
          <w:lang w:val="en-US" w:eastAsia="zh-CN"/>
        </w:rPr>
        <w:t xml:space="preserve"> </w:t>
      </w:r>
      <w:r>
        <w:rPr>
          <w:rFonts w:hint="eastAsia" w:eastAsia="宋体"/>
          <w:color w:val="auto"/>
          <w:shd w:val="clear" w:color="auto" w:fill="F9F9F9"/>
        </w:rPr>
        <w:t xml:space="preserve">for </w:t>
      </w:r>
      <w:r>
        <w:rPr>
          <w:rFonts w:hint="eastAsia" w:eastAsia="宋体"/>
          <w:color w:val="auto"/>
          <w:shd w:val="clear" w:color="auto" w:fill="F9F9F9"/>
          <w:lang w:val="en-US" w:eastAsia="zh-CN"/>
        </w:rPr>
        <w:t>e</w:t>
      </w:r>
      <w:r>
        <w:rPr>
          <w:rFonts w:hint="eastAsia" w:eastAsia="宋体"/>
          <w:color w:val="auto"/>
          <w:shd w:val="clear" w:color="auto" w:fill="F9F9F9"/>
        </w:rPr>
        <w:t xml:space="preserve">conomical </w:t>
      </w:r>
      <w:r>
        <w:rPr>
          <w:rFonts w:hint="eastAsia" w:eastAsia="宋体"/>
          <w:color w:val="auto"/>
          <w:shd w:val="clear" w:color="auto" w:fill="F9F9F9"/>
          <w:lang w:val="en-US" w:eastAsia="zh-CN"/>
        </w:rPr>
        <w:t>o</w:t>
      </w:r>
      <w:r>
        <w:rPr>
          <w:rFonts w:hint="eastAsia" w:eastAsia="宋体"/>
          <w:color w:val="auto"/>
          <w:shd w:val="clear" w:color="auto" w:fill="F9F9F9"/>
        </w:rPr>
        <w:t xml:space="preserve">peration of </w:t>
      </w:r>
      <w:r>
        <w:rPr>
          <w:rFonts w:hint="eastAsia" w:eastAsia="宋体"/>
          <w:color w:val="auto"/>
          <w:shd w:val="clear" w:color="auto" w:fill="F9F9F9"/>
          <w:lang w:val="en-US" w:eastAsia="zh-CN"/>
        </w:rPr>
        <w:t>c</w:t>
      </w:r>
      <w:r>
        <w:rPr>
          <w:rFonts w:hint="eastAsia" w:eastAsia="宋体"/>
          <w:color w:val="auto"/>
          <w:shd w:val="clear" w:color="auto" w:fill="F9F9F9"/>
        </w:rPr>
        <w:t xml:space="preserve">atering </w:t>
      </w:r>
      <w:r>
        <w:rPr>
          <w:rFonts w:hint="eastAsia" w:eastAsia="宋体"/>
          <w:color w:val="auto"/>
          <w:shd w:val="clear" w:color="auto" w:fill="F9F9F9"/>
          <w:lang w:val="en-US" w:eastAsia="zh-CN"/>
        </w:rPr>
        <w:t>s</w:t>
      </w:r>
      <w:r>
        <w:rPr>
          <w:rFonts w:hint="eastAsia" w:eastAsia="宋体"/>
          <w:color w:val="auto"/>
          <w:shd w:val="clear" w:color="auto" w:fill="F9F9F9"/>
        </w:rPr>
        <w:t xml:space="preserve">ervice </w:t>
      </w:r>
      <w:r>
        <w:rPr>
          <w:rFonts w:hint="eastAsia" w:eastAsia="宋体"/>
          <w:color w:val="auto"/>
          <w:shd w:val="clear" w:color="auto" w:fill="F9F9F9"/>
          <w:lang w:val="en-US" w:eastAsia="zh-CN"/>
        </w:rPr>
        <w:t>u</w:t>
      </w:r>
      <w:r>
        <w:rPr>
          <w:rFonts w:hint="eastAsia" w:eastAsia="宋体"/>
          <w:color w:val="auto"/>
          <w:shd w:val="clear" w:color="auto" w:fill="F9F9F9"/>
        </w:rPr>
        <w:t>nits</w:t>
      </w:r>
    </w:p>
    <w:p>
      <w:pPr>
        <w:pStyle w:val="76"/>
        <w:pBdr>
          <w:top w:val="none" w:color="auto" w:sz="0" w:space="0"/>
          <w:left w:val="none" w:color="auto" w:sz="0" w:space="0"/>
          <w:bottom w:val="none" w:color="auto" w:sz="0" w:space="0"/>
          <w:right w:val="none" w:color="auto" w:sz="0" w:space="0"/>
        </w:pBdr>
        <w:rPr>
          <w:rFonts w:hint="eastAsia" w:ascii="Times New Roman" w:eastAsia="宋体"/>
          <w:color w:val="auto"/>
          <w:lang w:eastAsia="zh-CN"/>
        </w:rPr>
      </w:pPr>
      <w:r>
        <w:rPr>
          <w:rFonts w:hint="eastAsia" w:ascii="Times New Roman"/>
          <w:color w:val="auto"/>
          <w:lang w:eastAsia="zh-CN"/>
        </w:rPr>
        <w:t>（</w:t>
      </w:r>
      <w:r>
        <w:rPr>
          <w:rFonts w:hint="eastAsia" w:ascii="Times New Roman"/>
          <w:color w:val="auto"/>
          <w:lang w:val="en-US" w:eastAsia="zh-CN"/>
        </w:rPr>
        <w:t>征求意见稿</w:t>
      </w:r>
      <w:r>
        <w:rPr>
          <w:rFonts w:hint="eastAsia" w:ascii="Times New Roman"/>
          <w:color w:val="auto"/>
          <w:lang w:eastAsia="zh-CN"/>
        </w:rPr>
        <w:t>）</w:t>
      </w:r>
    </w:p>
    <w:p>
      <w:pPr>
        <w:pStyle w:val="77"/>
        <w:rPr>
          <w:color w:val="000000"/>
        </w:rPr>
      </w:pPr>
    </w:p>
    <w:p>
      <w:pPr>
        <w:pStyle w:val="76"/>
        <w:rPr>
          <w:color w:val="000000"/>
        </w:rPr>
      </w:pP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5"/>
              <w:rPr>
                <w:color w:val="000000"/>
              </w:rPr>
            </w:pPr>
            <w:r>
              <w:rPr>
                <w:color w:val="000000"/>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15" name="矩形 15"/>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6192;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WJrpLVAAAA&#10;CgEAAA8AAAAAAAAAAQAgAAAAIgAAAGRycy9kb3ducmV2LnhtbFBLAQIUABQAAAAIAIdO4kBbB6y+&#10;rgEAAGEDAAAOAAAAAAAAAAEAIAAAACQBAABkcnMvZTJvRG9jLnhtbFBLBQYAAAAABgAGAFkBAABE&#10;BQAAAAA=&#10;">
                      <v:fill on="t" focussize="0,0"/>
                      <v:stroke on="f"/>
                      <v:imagedata o:title=""/>
                      <o:lock v:ext="edit" aspectratio="f"/>
                      <w10:anchorlock/>
                    </v:rect>
                  </w:pict>
                </mc:Fallback>
              </mc:AlternateContent>
            </w:r>
            <w:r>
              <w:rPr>
                <w:color w:val="000000"/>
              </w:rPr>
              <mc:AlternateContent>
                <mc:Choice Requires="wps">
                  <w:drawing>
                    <wp:anchor distT="0" distB="0" distL="114300" distR="11430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17" name="矩形 1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7216;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Mz4&#10;9O+vAQAAYQMAAA4AAAAAAAAAAQAgAAAAJQEAAGRycy9lMm9Eb2MueG1sUEsFBgAAAAAGAAYAWQEA&#10;AEY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4"/>
              <w:rPr>
                <w:color w:val="000000"/>
              </w:rPr>
            </w:pPr>
          </w:p>
        </w:tc>
      </w:tr>
    </w:tbl>
    <w:p>
      <w:pPr>
        <w:pStyle w:val="28"/>
        <w:ind w:firstLine="0" w:firstLineChars="0"/>
        <w:jc w:val="left"/>
        <w:rPr>
          <w:color w:val="000000"/>
        </w:rPr>
        <w:sectPr>
          <w:headerReference r:id="rId3" w:type="even"/>
          <w:footerReference r:id="rId4" w:type="even"/>
          <w:pgSz w:w="11906" w:h="16838"/>
          <w:pgMar w:top="567" w:right="850" w:bottom="1134" w:left="1418" w:header="0" w:footer="0" w:gutter="0"/>
          <w:pgNumType w:fmt="upperRoman" w:start="1"/>
          <w:cols w:space="720" w:num="1"/>
          <w:formProt w:val="0"/>
          <w:docGrid w:type="lines" w:linePitch="312" w:charSpace="0"/>
        </w:sectPr>
      </w:pPr>
      <w:bookmarkStart w:id="22" w:name="_GoBack"/>
      <w:bookmarkEnd w:id="22"/>
      <w:r>
        <w:rPr>
          <w:color w:val="000000"/>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QeJf1wAAAAkBAAAPAAAAAAAAAAEAIAAAACIAAABkcnMvZG93bnJldi54bWxQSwEC&#10;FAAUAAAACACHTuJAnKJV+/UBAADmAwAADgAAAAAAAAABACAAAAAmAQAAZHJzL2Uyb0RvYy54bWxQ&#10;SwUGAAAAAAYABgBZAQAAjQUAAAAA&#10;">
                <v:fill on="f" focussize="0,0"/>
                <v:stroke color="#000000" joinstyle="round"/>
                <v:imagedata o:title=""/>
                <o:lock v:ext="edit" aspectratio="f"/>
              </v:line>
            </w:pict>
          </mc:Fallback>
        </mc:AlternateContent>
      </w:r>
    </w:p>
    <w:p>
      <w:pPr>
        <w:spacing w:beforeLines="0" w:afterLines="0" w:line="480" w:lineRule="auto"/>
        <w:jc w:val="center"/>
        <w:rPr>
          <w:rFonts w:hint="eastAsia" w:ascii="黑体" w:hAnsi="黑体" w:eastAsia="黑体"/>
          <w:sz w:val="32"/>
          <w:szCs w:val="24"/>
        </w:rPr>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bookmarkStart w:id="1" w:name="_Toc3071"/>
    </w:p>
    <w:p>
      <w:pPr>
        <w:spacing w:beforeLines="0" w:afterLines="0" w:line="480" w:lineRule="auto"/>
        <w:jc w:val="center"/>
        <w:rPr>
          <w:rFonts w:hint="eastAsia" w:ascii="黑体" w:hAnsi="黑体" w:eastAsia="黑体"/>
          <w:sz w:val="32"/>
          <w:szCs w:val="24"/>
        </w:rPr>
      </w:pPr>
      <w:r>
        <w:rPr>
          <w:rFonts w:hint="eastAsia" w:ascii="黑体" w:hAnsi="黑体" w:eastAsia="黑体"/>
          <w:sz w:val="32"/>
          <w:szCs w:val="24"/>
        </w:rPr>
        <w:t>目 次</w:t>
      </w:r>
    </w:p>
    <w:p>
      <w:pPr>
        <w:spacing w:beforeLines="0" w:afterLines="0" w:line="480" w:lineRule="auto"/>
        <w:jc w:val="center"/>
        <w:rPr>
          <w:rFonts w:hint="eastAsia" w:ascii="黑体" w:hAnsi="黑体" w:eastAsia="黑体"/>
          <w:sz w:val="32"/>
          <w:szCs w:val="24"/>
        </w:rPr>
      </w:pPr>
    </w:p>
    <w:p>
      <w:pPr>
        <w:spacing w:beforeLines="0" w:afterLines="0" w:line="240" w:lineRule="auto"/>
        <w:jc w:val="distribute"/>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前言.................................................................................</w:t>
      </w:r>
      <w:r>
        <w:rPr>
          <w:rFonts w:hint="eastAsia" w:ascii="宋体" w:hAnsi="宋体" w:eastAsia="宋体" w:cs="宋体"/>
          <w:color w:val="000000" w:themeColor="text1"/>
          <w:sz w:val="21"/>
          <w:szCs w:val="24"/>
          <w:lang w:val="en-US" w:eastAsia="zh-CN"/>
          <w14:textFill>
            <w14:solidFill>
              <w14:schemeClr w14:val="tx1"/>
            </w14:solidFill>
          </w14:textFill>
        </w:rPr>
        <w:t>I</w:t>
      </w:r>
      <w:r>
        <w:rPr>
          <w:rFonts w:hint="eastAsia" w:ascii="宋体" w:hAnsi="宋体" w:eastAsia="宋体" w:cs="宋体"/>
          <w:color w:val="000000" w:themeColor="text1"/>
          <w:sz w:val="21"/>
          <w:szCs w:val="24"/>
          <w14:textFill>
            <w14:solidFill>
              <w14:schemeClr w14:val="tx1"/>
            </w14:solidFill>
          </w14:textFill>
        </w:rPr>
        <w:t>II</w:t>
      </w:r>
    </w:p>
    <w:p>
      <w:pPr>
        <w:spacing w:beforeLines="0" w:afterLines="0" w:line="240" w:lineRule="auto"/>
        <w:jc w:val="distribute"/>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1 范围................................................................................ 1</w:t>
      </w:r>
    </w:p>
    <w:p>
      <w:pPr>
        <w:spacing w:beforeLines="0" w:afterLines="0" w:line="240" w:lineRule="auto"/>
        <w:jc w:val="distribute"/>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2 规范性引用文件...................................................................... 1</w:t>
      </w:r>
    </w:p>
    <w:p>
      <w:pPr>
        <w:spacing w:beforeLines="0" w:afterLines="0" w:line="240" w:lineRule="auto"/>
        <w:jc w:val="distribute"/>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3 术语和定义.......................................................................... 1</w:t>
      </w:r>
    </w:p>
    <w:p>
      <w:pPr>
        <w:spacing w:beforeLines="0" w:afterLines="0" w:line="240" w:lineRule="auto"/>
        <w:jc w:val="distribute"/>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4 </w:t>
      </w:r>
      <w:r>
        <w:rPr>
          <w:rFonts w:hint="eastAsia" w:ascii="宋体" w:hAnsi="宋体" w:eastAsia="宋体" w:cs="宋体"/>
          <w:color w:val="000000" w:themeColor="text1"/>
          <w:sz w:val="21"/>
          <w:szCs w:val="24"/>
          <w:lang w:val="en-US" w:eastAsia="zh-CN"/>
          <w14:textFill>
            <w14:solidFill>
              <w14:schemeClr w14:val="tx1"/>
            </w14:solidFill>
          </w14:textFill>
        </w:rPr>
        <w:t>管理要求</w:t>
      </w:r>
      <w:r>
        <w:rPr>
          <w:rFonts w:hint="eastAsia" w:ascii="宋体" w:hAnsi="宋体" w:eastAsia="宋体" w:cs="宋体"/>
          <w:color w:val="000000" w:themeColor="text1"/>
          <w:sz w:val="21"/>
          <w:szCs w:val="24"/>
          <w14:textFill>
            <w14:solidFill>
              <w14:schemeClr w14:val="tx1"/>
            </w14:solidFill>
          </w14:textFill>
        </w:rPr>
        <w:t>............................................................................ 2</w:t>
      </w:r>
    </w:p>
    <w:p>
      <w:pPr>
        <w:spacing w:beforeLines="0" w:afterLines="0" w:line="240" w:lineRule="auto"/>
        <w:jc w:val="distribute"/>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5 </w:t>
      </w:r>
      <w:r>
        <w:rPr>
          <w:rFonts w:hint="eastAsia" w:ascii="宋体" w:hAnsi="宋体" w:eastAsia="宋体" w:cs="宋体"/>
          <w:color w:val="000000" w:themeColor="text1"/>
          <w:sz w:val="21"/>
          <w:szCs w:val="24"/>
          <w:lang w:val="en-US" w:eastAsia="zh-CN"/>
          <w14:textFill>
            <w14:solidFill>
              <w14:schemeClr w14:val="tx1"/>
            </w14:solidFill>
          </w14:textFill>
        </w:rPr>
        <w:t>制度建设</w:t>
      </w:r>
      <w:r>
        <w:rPr>
          <w:rFonts w:hint="eastAsia" w:ascii="宋体" w:hAnsi="宋体" w:eastAsia="宋体" w:cs="宋体"/>
          <w:color w:val="000000" w:themeColor="text1"/>
          <w:sz w:val="21"/>
          <w:szCs w:val="24"/>
          <w14:textFill>
            <w14:solidFill>
              <w14:schemeClr w14:val="tx1"/>
            </w14:solidFill>
          </w14:textFill>
        </w:rPr>
        <w:t>.......................................................................... 2</w:t>
      </w:r>
    </w:p>
    <w:p>
      <w:pPr>
        <w:spacing w:beforeLines="0" w:afterLines="0" w:line="240" w:lineRule="auto"/>
        <w:jc w:val="distribute"/>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6 </w:t>
      </w:r>
      <w:r>
        <w:rPr>
          <w:rFonts w:hint="eastAsia" w:ascii="宋体" w:hAnsi="宋体" w:eastAsia="宋体" w:cs="宋体"/>
          <w:color w:val="000000" w:themeColor="text1"/>
          <w:sz w:val="21"/>
          <w:szCs w:val="24"/>
          <w:lang w:val="en-US" w:eastAsia="zh-CN"/>
          <w14:textFill>
            <w14:solidFill>
              <w14:schemeClr w14:val="tx1"/>
            </w14:solidFill>
          </w14:textFill>
        </w:rPr>
        <w:t>菜品设计</w:t>
      </w:r>
      <w:r>
        <w:rPr>
          <w:rFonts w:hint="eastAsia" w:ascii="宋体" w:hAnsi="宋体" w:eastAsia="宋体" w:cs="宋体"/>
          <w:color w:val="000000" w:themeColor="text1"/>
          <w:sz w:val="21"/>
          <w:szCs w:val="24"/>
          <w14:textFill>
            <w14:solidFill>
              <w14:schemeClr w14:val="tx1"/>
            </w14:solidFill>
          </w14:textFill>
        </w:rPr>
        <w:t>........................................................................ 2</w:t>
      </w:r>
    </w:p>
    <w:p>
      <w:pPr>
        <w:spacing w:beforeLines="0" w:afterLines="0" w:line="240" w:lineRule="auto"/>
        <w:jc w:val="distribute"/>
        <w:rPr>
          <w:rFonts w:hint="eastAsia" w:ascii="宋体" w:hAnsi="宋体" w:eastAsia="宋体" w:cs="宋体"/>
          <w:color w:val="000000" w:themeColor="text1"/>
          <w:sz w:val="21"/>
          <w:szCs w:val="24"/>
          <w:lang w:eastAsia="zh-CN"/>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7 </w:t>
      </w:r>
      <w:r>
        <w:rPr>
          <w:rFonts w:hint="eastAsia" w:ascii="宋体" w:hAnsi="宋体" w:eastAsia="宋体" w:cs="宋体"/>
          <w:color w:val="000000" w:themeColor="text1"/>
          <w:sz w:val="21"/>
          <w:szCs w:val="24"/>
          <w:lang w:val="en-US" w:eastAsia="zh-CN"/>
          <w14:textFill>
            <w14:solidFill>
              <w14:schemeClr w14:val="tx1"/>
            </w14:solidFill>
          </w14:textFill>
        </w:rPr>
        <w:t>采购与贮藏</w:t>
      </w:r>
      <w:r>
        <w:rPr>
          <w:rFonts w:hint="eastAsia" w:ascii="宋体" w:hAnsi="宋体" w:eastAsia="宋体" w:cs="宋体"/>
          <w:color w:val="000000" w:themeColor="text1"/>
          <w:sz w:val="21"/>
          <w:szCs w:val="24"/>
          <w14:textFill>
            <w14:solidFill>
              <w14:schemeClr w14:val="tx1"/>
            </w14:solidFill>
          </w14:textFill>
        </w:rPr>
        <w:t xml:space="preserve">........................................................................... </w:t>
      </w:r>
      <w:r>
        <w:rPr>
          <w:rFonts w:hint="eastAsia" w:ascii="宋体" w:hAnsi="宋体" w:eastAsia="宋体" w:cs="宋体"/>
          <w:color w:val="000000" w:themeColor="text1"/>
          <w:sz w:val="21"/>
          <w:szCs w:val="24"/>
          <w:lang w:val="en-US" w:eastAsia="zh-CN"/>
          <w14:textFill>
            <w14:solidFill>
              <w14:schemeClr w14:val="tx1"/>
            </w14:solidFill>
          </w14:textFill>
        </w:rPr>
        <w:t>3</w:t>
      </w:r>
    </w:p>
    <w:p>
      <w:pPr>
        <w:spacing w:beforeLines="0" w:afterLines="0" w:line="240" w:lineRule="auto"/>
        <w:jc w:val="distribute"/>
        <w:rPr>
          <w:rFonts w:hint="eastAsia" w:ascii="宋体" w:hAnsi="宋体" w:eastAsia="宋体" w:cs="宋体"/>
          <w:color w:val="000000" w:themeColor="text1"/>
          <w:sz w:val="21"/>
          <w:szCs w:val="24"/>
          <w:lang w:eastAsia="zh-CN"/>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8 </w:t>
      </w:r>
      <w:r>
        <w:rPr>
          <w:rFonts w:hint="eastAsia" w:ascii="宋体" w:hAnsi="宋体" w:eastAsia="宋体" w:cs="宋体"/>
          <w:color w:val="000000" w:themeColor="text1"/>
          <w:sz w:val="21"/>
          <w:szCs w:val="24"/>
          <w:lang w:val="en-US" w:eastAsia="zh-CN"/>
          <w14:textFill>
            <w14:solidFill>
              <w14:schemeClr w14:val="tx1"/>
            </w14:solidFill>
          </w14:textFill>
        </w:rPr>
        <w:t>加工操作</w:t>
      </w:r>
      <w:r>
        <w:rPr>
          <w:rFonts w:hint="eastAsia" w:ascii="宋体" w:hAnsi="宋体" w:eastAsia="宋体" w:cs="宋体"/>
          <w:color w:val="000000" w:themeColor="text1"/>
          <w:sz w:val="21"/>
          <w:szCs w:val="24"/>
          <w14:textFill>
            <w14:solidFill>
              <w14:schemeClr w14:val="tx1"/>
            </w14:solidFill>
          </w14:textFill>
        </w:rPr>
        <w:t xml:space="preserve">............................................................................. </w:t>
      </w:r>
      <w:r>
        <w:rPr>
          <w:rFonts w:hint="eastAsia" w:ascii="宋体" w:hAnsi="宋体" w:eastAsia="宋体" w:cs="宋体"/>
          <w:color w:val="000000" w:themeColor="text1"/>
          <w:sz w:val="21"/>
          <w:szCs w:val="24"/>
          <w:lang w:val="en-US" w:eastAsia="zh-CN"/>
          <w14:textFill>
            <w14:solidFill>
              <w14:schemeClr w14:val="tx1"/>
            </w14:solidFill>
          </w14:textFill>
        </w:rPr>
        <w:t>3</w:t>
      </w:r>
    </w:p>
    <w:p>
      <w:pPr>
        <w:spacing w:beforeLines="0" w:afterLines="0" w:line="240" w:lineRule="auto"/>
        <w:jc w:val="distribute"/>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9 </w:t>
      </w:r>
      <w:r>
        <w:rPr>
          <w:rFonts w:hint="eastAsia" w:ascii="宋体" w:hAnsi="宋体" w:eastAsia="宋体" w:cs="宋体"/>
          <w:color w:val="000000" w:themeColor="text1"/>
          <w:sz w:val="21"/>
          <w:szCs w:val="24"/>
          <w:lang w:val="en-US" w:eastAsia="zh-CN"/>
          <w14:textFill>
            <w14:solidFill>
              <w14:schemeClr w14:val="tx1"/>
            </w14:solidFill>
          </w14:textFill>
        </w:rPr>
        <w:t>服务要求</w:t>
      </w:r>
      <w:r>
        <w:rPr>
          <w:rFonts w:hint="eastAsia" w:ascii="宋体" w:hAnsi="宋体" w:eastAsia="宋体" w:cs="宋体"/>
          <w:color w:val="000000" w:themeColor="text1"/>
          <w:sz w:val="21"/>
          <w:szCs w:val="24"/>
          <w14:textFill>
            <w14:solidFill>
              <w14:schemeClr w14:val="tx1"/>
            </w14:solidFill>
          </w14:textFill>
        </w:rPr>
        <w:t>............................................................................. 4</w:t>
      </w:r>
    </w:p>
    <w:p>
      <w:pPr>
        <w:spacing w:beforeLines="0" w:afterLines="0" w:line="240" w:lineRule="auto"/>
        <w:jc w:val="distribute"/>
        <w:rPr>
          <w:rFonts w:hint="eastAsia" w:ascii="宋体" w:hAnsi="宋体" w:eastAsia="宋体" w:cs="宋体"/>
          <w:color w:val="000000" w:themeColor="text1"/>
          <w:sz w:val="21"/>
          <w:szCs w:val="24"/>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10 </w:t>
      </w:r>
      <w:r>
        <w:rPr>
          <w:rFonts w:hint="eastAsia" w:ascii="宋体" w:hAnsi="宋体" w:eastAsia="宋体" w:cs="宋体"/>
          <w:color w:val="000000" w:themeColor="text1"/>
          <w:sz w:val="21"/>
          <w:szCs w:val="24"/>
          <w:lang w:val="en-US" w:eastAsia="zh-CN"/>
          <w14:textFill>
            <w14:solidFill>
              <w14:schemeClr w14:val="tx1"/>
            </w14:solidFill>
          </w14:textFill>
        </w:rPr>
        <w:t>服务设备设施及低值易耗品......</w:t>
      </w:r>
      <w:r>
        <w:rPr>
          <w:rFonts w:hint="eastAsia" w:ascii="宋体" w:hAnsi="宋体" w:eastAsia="宋体" w:cs="宋体"/>
          <w:color w:val="000000" w:themeColor="text1"/>
          <w:sz w:val="21"/>
          <w:szCs w:val="24"/>
          <w14:textFill>
            <w14:solidFill>
              <w14:schemeClr w14:val="tx1"/>
            </w14:solidFill>
          </w14:textFill>
        </w:rPr>
        <w:t>.................................................. 4</w:t>
      </w:r>
    </w:p>
    <w:p>
      <w:pPr>
        <w:spacing w:beforeLines="0" w:afterLines="0" w:line="240" w:lineRule="auto"/>
        <w:jc w:val="distribute"/>
        <w:rPr>
          <w:rFonts w:hint="eastAsia" w:ascii="宋体" w:hAnsi="宋体" w:eastAsia="宋体" w:cs="宋体"/>
          <w:color w:val="000000" w:themeColor="text1"/>
          <w:sz w:val="21"/>
          <w:szCs w:val="24"/>
          <w:lang w:eastAsia="zh-CN"/>
          <w14:textFill>
            <w14:solidFill>
              <w14:schemeClr w14:val="tx1"/>
            </w14:solidFill>
          </w14:textFill>
        </w:rPr>
      </w:pPr>
      <w:r>
        <w:rPr>
          <w:rFonts w:hint="eastAsia" w:ascii="宋体" w:hAnsi="宋体" w:eastAsia="宋体" w:cs="宋体"/>
          <w:color w:val="000000" w:themeColor="text1"/>
          <w:sz w:val="21"/>
          <w:szCs w:val="24"/>
          <w14:textFill>
            <w14:solidFill>
              <w14:schemeClr w14:val="tx1"/>
            </w14:solidFill>
          </w14:textFill>
        </w:rPr>
        <w:t xml:space="preserve">11 </w:t>
      </w:r>
      <w:r>
        <w:rPr>
          <w:rFonts w:hint="eastAsia" w:ascii="宋体" w:hAnsi="宋体" w:eastAsia="宋体" w:cs="宋体"/>
          <w:color w:val="000000" w:themeColor="text1"/>
          <w:sz w:val="21"/>
          <w:szCs w:val="24"/>
          <w:lang w:val="en-US" w:eastAsia="zh-CN"/>
          <w14:textFill>
            <w14:solidFill>
              <w14:schemeClr w14:val="tx1"/>
            </w14:solidFill>
          </w14:textFill>
        </w:rPr>
        <w:t>服务人员</w:t>
      </w:r>
      <w:r>
        <w:rPr>
          <w:rFonts w:hint="eastAsia" w:ascii="宋体" w:hAnsi="宋体" w:eastAsia="宋体" w:cs="宋体"/>
          <w:color w:val="000000" w:themeColor="text1"/>
          <w:sz w:val="21"/>
          <w:szCs w:val="24"/>
          <w14:textFill>
            <w14:solidFill>
              <w14:schemeClr w14:val="tx1"/>
            </w14:solidFill>
          </w14:textFill>
        </w:rPr>
        <w:t xml:space="preserve">........................................................................... </w:t>
      </w:r>
      <w:r>
        <w:rPr>
          <w:rFonts w:hint="eastAsia" w:ascii="宋体" w:hAnsi="宋体" w:eastAsia="宋体" w:cs="宋体"/>
          <w:color w:val="000000" w:themeColor="text1"/>
          <w:sz w:val="21"/>
          <w:szCs w:val="24"/>
          <w:lang w:val="en-US" w:eastAsia="zh-CN"/>
          <w14:textFill>
            <w14:solidFill>
              <w14:schemeClr w14:val="tx1"/>
            </w14:solidFill>
          </w14:textFill>
        </w:rPr>
        <w:t>5</w:t>
      </w:r>
    </w:p>
    <w:p>
      <w:pPr>
        <w:spacing w:beforeLines="0" w:afterLines="0" w:line="240" w:lineRule="auto"/>
        <w:jc w:val="distribute"/>
        <w:rPr>
          <w:rFonts w:hint="eastAsia" w:ascii="宋体" w:hAnsi="宋体" w:eastAsia="宋体" w:cs="宋体"/>
          <w:color w:val="000000" w:themeColor="text1"/>
          <w:sz w:val="21"/>
          <w:szCs w:val="24"/>
          <w:lang w:eastAsia="zh-CN"/>
          <w14:textFill>
            <w14:solidFill>
              <w14:schemeClr w14:val="tx1"/>
            </w14:solidFill>
          </w14:textFill>
        </w:rPr>
      </w:pPr>
      <w:r>
        <w:rPr>
          <w:rFonts w:hint="eastAsia" w:ascii="宋体" w:hAnsi="宋体" w:eastAsia="宋体" w:cs="宋体"/>
          <w:color w:val="000000" w:themeColor="text1"/>
          <w:sz w:val="21"/>
          <w:szCs w:val="24"/>
          <w:lang w:val="en-US" w:eastAsia="zh-CN"/>
          <w14:textFill>
            <w14:solidFill>
              <w14:schemeClr w14:val="tx1"/>
            </w14:solidFill>
          </w14:textFill>
        </w:rPr>
        <w:t>12宣传教育</w:t>
      </w:r>
      <w:r>
        <w:rPr>
          <w:rFonts w:hint="eastAsia" w:ascii="宋体" w:hAnsi="宋体" w:eastAsia="宋体" w:cs="宋体"/>
          <w:color w:val="000000" w:themeColor="text1"/>
          <w:sz w:val="21"/>
          <w:szCs w:val="24"/>
          <w14:textFill>
            <w14:solidFill>
              <w14:schemeClr w14:val="tx1"/>
            </w14:solidFill>
          </w14:textFill>
        </w:rPr>
        <w:t>......................................................</w:t>
      </w:r>
      <w:r>
        <w:rPr>
          <w:rFonts w:hint="eastAsia" w:ascii="宋体" w:hAnsi="宋体" w:eastAsia="宋体" w:cs="宋体"/>
          <w:color w:val="000000" w:themeColor="text1"/>
          <w:sz w:val="21"/>
          <w:szCs w:val="24"/>
          <w:lang w:val="en-US" w:eastAsia="zh-CN"/>
          <w14:textFill>
            <w14:solidFill>
              <w14:schemeClr w14:val="tx1"/>
            </w14:solidFill>
          </w14:textFill>
        </w:rPr>
        <w:t>5</w:t>
      </w:r>
    </w:p>
    <w:p>
      <w:pPr>
        <w:spacing w:beforeLines="0" w:afterLines="0" w:line="240" w:lineRule="auto"/>
        <w:jc w:val="distribute"/>
        <w:rPr>
          <w:rFonts w:hint="eastAsia" w:ascii="宋体" w:hAnsi="宋体" w:eastAsia="宋体" w:cs="宋体"/>
          <w:color w:val="000000" w:themeColor="text1"/>
          <w:sz w:val="21"/>
          <w:szCs w:val="24"/>
          <w:lang w:val="en-US" w:eastAsia="zh-CN"/>
          <w14:textFill>
            <w14:solidFill>
              <w14:schemeClr w14:val="tx1"/>
            </w14:solidFill>
          </w14:textFill>
        </w:rPr>
      </w:pPr>
      <w:r>
        <w:rPr>
          <w:rFonts w:hint="eastAsia" w:ascii="宋体" w:hAnsi="宋体" w:eastAsia="宋体" w:cs="宋体"/>
          <w:color w:val="000000" w:themeColor="text1"/>
          <w:sz w:val="21"/>
          <w:szCs w:val="24"/>
          <w:lang w:val="en-US" w:eastAsia="zh-CN"/>
          <w14:textFill>
            <w14:solidFill>
              <w14:schemeClr w14:val="tx1"/>
            </w14:solidFill>
          </w14:textFill>
        </w:rPr>
        <w:t>13服务培训</w:t>
      </w:r>
      <w:r>
        <w:rPr>
          <w:rFonts w:hint="eastAsia" w:ascii="宋体" w:hAnsi="宋体" w:eastAsia="宋体" w:cs="宋体"/>
          <w:color w:val="000000" w:themeColor="text1"/>
          <w:sz w:val="21"/>
          <w:szCs w:val="24"/>
          <w14:textFill>
            <w14:solidFill>
              <w14:schemeClr w14:val="tx1"/>
            </w14:solidFill>
          </w14:textFill>
        </w:rPr>
        <w:t>......................................................</w:t>
      </w:r>
      <w:r>
        <w:rPr>
          <w:rFonts w:hint="eastAsia" w:ascii="宋体" w:hAnsi="宋体" w:eastAsia="宋体" w:cs="宋体"/>
          <w:color w:val="000000" w:themeColor="text1"/>
          <w:sz w:val="21"/>
          <w:szCs w:val="24"/>
          <w:lang w:val="en-US" w:eastAsia="zh-CN"/>
          <w14:textFill>
            <w14:solidFill>
              <w14:schemeClr w14:val="tx1"/>
            </w14:solidFill>
          </w14:textFill>
        </w:rPr>
        <w:t>5</w:t>
      </w:r>
    </w:p>
    <w:p>
      <w:pPr>
        <w:spacing w:beforeLines="0" w:afterLines="0" w:line="240" w:lineRule="auto"/>
        <w:jc w:val="distribute"/>
        <w:rPr>
          <w:rFonts w:hint="eastAsia" w:ascii="宋体" w:hAnsi="宋体" w:eastAsia="宋体" w:cs="宋体"/>
          <w:color w:val="000000" w:themeColor="text1"/>
          <w:sz w:val="21"/>
          <w:szCs w:val="24"/>
          <w:lang w:val="en-US" w:eastAsia="zh-CN"/>
          <w14:textFill>
            <w14:solidFill>
              <w14:schemeClr w14:val="tx1"/>
            </w14:solidFill>
          </w14:textFill>
        </w:rPr>
      </w:pPr>
      <w:r>
        <w:rPr>
          <w:rFonts w:hint="eastAsia" w:ascii="宋体" w:hAnsi="宋体" w:eastAsia="宋体" w:cs="宋体"/>
          <w:color w:val="000000" w:themeColor="text1"/>
          <w:sz w:val="21"/>
          <w:szCs w:val="24"/>
          <w:lang w:val="en-US" w:eastAsia="zh-CN"/>
          <w14:textFill>
            <w14:solidFill>
              <w14:schemeClr w14:val="tx1"/>
            </w14:solidFill>
          </w14:textFill>
        </w:rPr>
        <w:t>14监督、评价与改进</w:t>
      </w:r>
      <w:r>
        <w:rPr>
          <w:rFonts w:hint="eastAsia" w:ascii="宋体" w:hAnsi="宋体" w:eastAsia="宋体" w:cs="宋体"/>
          <w:color w:val="000000" w:themeColor="text1"/>
          <w:sz w:val="21"/>
          <w:szCs w:val="24"/>
          <w14:textFill>
            <w14:solidFill>
              <w14:schemeClr w14:val="tx1"/>
            </w14:solidFill>
          </w14:textFill>
        </w:rPr>
        <w:t>..................................................</w:t>
      </w:r>
      <w:r>
        <w:rPr>
          <w:rFonts w:hint="eastAsia" w:ascii="宋体" w:hAnsi="宋体" w:eastAsia="宋体" w:cs="宋体"/>
          <w:color w:val="000000" w:themeColor="text1"/>
          <w:sz w:val="21"/>
          <w:szCs w:val="24"/>
          <w:lang w:val="en-US" w:eastAsia="zh-CN"/>
          <w14:textFill>
            <w14:solidFill>
              <w14:schemeClr w14:val="tx1"/>
            </w14:solidFill>
          </w14:textFill>
        </w:rPr>
        <w:t>6</w:t>
      </w:r>
    </w:p>
    <w:p>
      <w:pPr>
        <w:spacing w:beforeLines="0" w:afterLines="0" w:line="240" w:lineRule="auto"/>
        <w:jc w:val="distribute"/>
        <w:rPr>
          <w:rFonts w:hint="eastAsia" w:ascii="宋体" w:hAnsi="宋体" w:eastAsia="宋体" w:cs="宋体"/>
          <w:color w:val="000000" w:themeColor="text1"/>
          <w:lang w:val="en-US"/>
          <w14:textFill>
            <w14:solidFill>
              <w14:schemeClr w14:val="tx1"/>
            </w14:solidFill>
          </w14:textFill>
        </w:rPr>
        <w:sectPr>
          <w:footerReference r:id="rId7" w:type="default"/>
          <w:pgSz w:w="11906" w:h="16838"/>
          <w:pgMar w:top="567" w:right="1134" w:bottom="1134" w:left="1418" w:header="1418" w:footer="1134" w:gutter="0"/>
          <w:pgNumType w:fmt="upperRoman" w:start="1"/>
          <w:cols w:space="720" w:num="1"/>
          <w:formProt w:val="0"/>
          <w:docGrid w:type="lines" w:linePitch="312" w:charSpace="0"/>
        </w:sectPr>
      </w:pPr>
      <w:r>
        <w:rPr>
          <w:rFonts w:hint="eastAsia" w:ascii="宋体" w:hAnsi="宋体" w:eastAsia="宋体" w:cs="宋体"/>
          <w:color w:val="000000" w:themeColor="text1"/>
          <w:sz w:val="21"/>
          <w:szCs w:val="24"/>
          <w:lang w:val="en-US" w:eastAsia="zh-CN"/>
          <w14:textFill>
            <w14:solidFill>
              <w14:schemeClr w14:val="tx1"/>
            </w14:solidFill>
          </w14:textFill>
        </w:rPr>
        <w:t>15参考文献</w:t>
      </w:r>
      <w:r>
        <w:rPr>
          <w:rFonts w:hint="eastAsia" w:ascii="宋体" w:hAnsi="宋体" w:eastAsia="宋体" w:cs="宋体"/>
          <w:color w:val="000000" w:themeColor="text1"/>
          <w:sz w:val="21"/>
          <w:szCs w:val="24"/>
          <w14:textFill>
            <w14:solidFill>
              <w14:schemeClr w14:val="tx1"/>
            </w14:solidFill>
          </w14:textFill>
        </w:rPr>
        <w:t>......................................................</w:t>
      </w:r>
      <w:r>
        <w:rPr>
          <w:rFonts w:hint="eastAsia" w:ascii="宋体" w:hAnsi="宋体" w:eastAsia="宋体" w:cs="宋体"/>
          <w:color w:val="000000" w:themeColor="text1"/>
          <w:sz w:val="21"/>
          <w:szCs w:val="24"/>
          <w:lang w:val="en-US" w:eastAsia="zh-CN"/>
          <w14:textFill>
            <w14:solidFill>
              <w14:schemeClr w14:val="tx1"/>
            </w14:solidFill>
          </w14:textFill>
        </w:rPr>
        <w:t>7</w:t>
      </w:r>
    </w:p>
    <w:p>
      <w:pPr>
        <w:pStyle w:val="136"/>
        <w:rPr>
          <w:rFonts w:hint="eastAsia" w:hAnsi="黑体" w:cs="黑体"/>
          <w:color w:val="auto"/>
        </w:rPr>
        <w:sectPr>
          <w:pgSz w:w="11906" w:h="16838"/>
          <w:pgMar w:top="567" w:right="1134" w:bottom="1134" w:left="1418" w:header="1418" w:footer="1134" w:gutter="0"/>
          <w:pgNumType w:fmt="upperRoman"/>
          <w:cols w:space="720" w:num="1"/>
          <w:formProt w:val="0"/>
          <w:docGrid w:type="lines" w:linePitch="312" w:charSpace="0"/>
        </w:sectPr>
      </w:pPr>
    </w:p>
    <w:p>
      <w:pPr>
        <w:pStyle w:val="136"/>
        <w:rPr>
          <w:rFonts w:ascii="Times New Roman" w:eastAsia="宋体"/>
          <w:color w:val="auto"/>
        </w:rPr>
      </w:pPr>
      <w:r>
        <w:rPr>
          <w:rFonts w:hint="eastAsia" w:hAnsi="黑体" w:cs="黑体"/>
          <w:color w:val="auto"/>
        </w:rPr>
        <w:t>前</w:t>
      </w:r>
      <w:bookmarkStart w:id="2" w:name="BKQY"/>
      <w:r>
        <w:rPr>
          <w:rFonts w:hint="eastAsia" w:hAnsi="黑体" w:cs="黑体"/>
          <w:color w:val="auto"/>
        </w:rPr>
        <w:t>  言</w:t>
      </w:r>
      <w:bookmarkEnd w:id="1"/>
      <w:bookmarkEnd w:id="2"/>
    </w:p>
    <w:p>
      <w:pPr>
        <w:pStyle w:val="28"/>
        <w:rPr>
          <w:rFonts w:hAnsi="宋体" w:cs="宋体"/>
          <w:color w:val="auto"/>
        </w:rPr>
      </w:pPr>
      <w:r>
        <w:rPr>
          <w:rFonts w:hint="eastAsia" w:hAnsi="宋体" w:cs="宋体"/>
          <w:color w:val="auto"/>
        </w:rPr>
        <w:t>本文件按照GB/T 1.1—2020《标准化工作导则  第1部分：标准化文件的结构和起草规则》的规定起草。</w:t>
      </w:r>
    </w:p>
    <w:p>
      <w:pPr>
        <w:tabs>
          <w:tab w:val="center" w:pos="4201"/>
          <w:tab w:val="right" w:leader="dot" w:pos="9298"/>
        </w:tabs>
        <w:ind w:left="420" w:leftChars="200"/>
        <w:rPr>
          <w:rFonts w:hAnsi="宋体" w:cs="宋体"/>
          <w:color w:val="auto"/>
          <w:szCs w:val="21"/>
        </w:rPr>
      </w:pPr>
      <w:r>
        <w:rPr>
          <w:rFonts w:hint="eastAsia" w:hAnsi="宋体" w:cs="宋体"/>
          <w:color w:val="auto"/>
        </w:rPr>
        <w:t>请注意本文件的某些内容可能涉及专利。本文件的发布机构不承担识别专</w:t>
      </w:r>
      <w:r>
        <w:rPr>
          <w:rFonts w:hint="eastAsia" w:ascii="宋体" w:hAnsi="宋体" w:cs="宋体"/>
          <w:color w:val="auto"/>
          <w:szCs w:val="21"/>
        </w:rPr>
        <w:t>利的责任。</w:t>
      </w:r>
    </w:p>
    <w:p>
      <w:pPr>
        <w:ind w:firstLine="420" w:firstLineChars="200"/>
        <w:rPr>
          <w:rFonts w:ascii="宋体" w:hAnsi="宋体" w:cs="宋体"/>
          <w:color w:val="auto"/>
          <w:szCs w:val="21"/>
        </w:rPr>
      </w:pPr>
      <w:r>
        <w:rPr>
          <w:rFonts w:hint="eastAsia" w:ascii="宋体" w:hAnsi="宋体" w:cs="宋体"/>
          <w:color w:val="auto"/>
          <w:szCs w:val="21"/>
        </w:rPr>
        <w:t>本文件由</w:t>
      </w:r>
      <w:r>
        <w:rPr>
          <w:rFonts w:hint="eastAsia" w:ascii="宋体" w:hAnsi="宋体" w:cs="宋体"/>
          <w:color w:val="auto"/>
          <w:szCs w:val="21"/>
          <w:lang w:val="en-US" w:eastAsia="zh-CN"/>
        </w:rPr>
        <w:t>中山市市场监督管理局</w:t>
      </w:r>
      <w:r>
        <w:rPr>
          <w:rFonts w:hint="eastAsia" w:ascii="宋体" w:hAnsi="宋体" w:cs="宋体"/>
          <w:color w:val="auto"/>
          <w:kern w:val="0"/>
          <w:szCs w:val="21"/>
        </w:rPr>
        <w:t>提出</w:t>
      </w:r>
      <w:r>
        <w:rPr>
          <w:rFonts w:hint="eastAsia" w:ascii="宋体" w:hAnsi="宋体" w:cs="宋体"/>
          <w:color w:val="auto"/>
          <w:szCs w:val="21"/>
        </w:rPr>
        <w:t>并归口。</w:t>
      </w:r>
    </w:p>
    <w:p>
      <w:pPr>
        <w:pStyle w:val="4"/>
        <w:keepNext w:val="0"/>
        <w:keepLines w:val="0"/>
        <w:widowControl/>
        <w:shd w:val="clear" w:color="auto" w:fill="FFFFFF"/>
        <w:spacing w:before="0" w:after="60" w:line="330" w:lineRule="atLeast"/>
        <w:ind w:firstLine="420" w:firstLineChars="200"/>
        <w:rPr>
          <w:rFonts w:ascii="宋体" w:hAnsi="宋体" w:cs="宋体"/>
          <w:b w:val="0"/>
          <w:bCs w:val="0"/>
          <w:color w:val="auto"/>
          <w:kern w:val="0"/>
          <w:sz w:val="21"/>
          <w:szCs w:val="21"/>
        </w:rPr>
      </w:pPr>
      <w:r>
        <w:rPr>
          <w:rFonts w:hint="eastAsia" w:ascii="宋体" w:hAnsi="宋体" w:cs="宋体"/>
          <w:b w:val="0"/>
          <w:bCs w:val="0"/>
          <w:color w:val="auto"/>
          <w:kern w:val="0"/>
          <w:sz w:val="21"/>
          <w:szCs w:val="21"/>
        </w:rPr>
        <w:t>本文件起草单位：</w:t>
      </w:r>
      <w:r>
        <w:rPr>
          <w:rFonts w:hint="eastAsia" w:ascii="宋体" w:hAnsi="宋体" w:cs="宋体"/>
          <w:b w:val="0"/>
          <w:bCs w:val="0"/>
          <w:color w:val="auto"/>
          <w:kern w:val="0"/>
          <w:sz w:val="21"/>
          <w:szCs w:val="21"/>
          <w:lang w:val="en-US" w:eastAsia="zh-CN"/>
        </w:rPr>
        <w:t>中山市食品学会、中山洪力健康食品产业研究院有限公司、创味舌尖冻干食品科技（中山）有限公司、中山市烹饪协会、中山市技师学院、利诚检测认证集团股份有限公司、广东菜丁供应链管理有限公司、中山兴中餐饮管理有限公司、中山市南区街道食品药品监督所、中山市海港城海鲜大酒楼有限公司。</w:t>
      </w:r>
    </w:p>
    <w:p>
      <w:pPr>
        <w:pStyle w:val="4"/>
        <w:keepNext w:val="0"/>
        <w:keepLines w:val="0"/>
        <w:widowControl/>
        <w:shd w:val="clear" w:color="auto" w:fill="FFFFFF"/>
        <w:spacing w:before="0" w:after="0" w:line="240" w:lineRule="auto"/>
        <w:ind w:firstLine="420" w:firstLineChars="200"/>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rPr>
        <w:t>本文件主要起草人：</w:t>
      </w:r>
    </w:p>
    <w:p>
      <w:pPr>
        <w:pStyle w:val="28"/>
        <w:rPr>
          <w:rFonts w:ascii="Times New Roman"/>
          <w:color w:val="auto"/>
          <w:szCs w:val="22"/>
        </w:rPr>
      </w:pPr>
      <w:r>
        <w:rPr>
          <w:rFonts w:hint="eastAsia" w:hAnsi="宋体" w:cs="宋体"/>
          <w:color w:val="auto"/>
          <w:szCs w:val="21"/>
        </w:rPr>
        <w:t>本文件为首次发布。</w:t>
      </w:r>
    </w:p>
    <w:p>
      <w:pPr>
        <w:pStyle w:val="28"/>
        <w:rPr>
          <w:rFonts w:ascii="Times New Roman"/>
          <w:color w:val="auto"/>
        </w:rPr>
        <w:sectPr>
          <w:pgSz w:w="11906" w:h="16838"/>
          <w:pgMar w:top="567" w:right="1134" w:bottom="1134" w:left="1418" w:header="1418" w:footer="1134" w:gutter="0"/>
          <w:pgNumType w:fmt="upperRoman"/>
          <w:cols w:space="720" w:num="1"/>
          <w:formProt w:val="0"/>
          <w:docGrid w:type="lines" w:linePitch="312" w:charSpace="0"/>
        </w:sectPr>
      </w:pPr>
    </w:p>
    <w:p>
      <w:pPr>
        <w:pStyle w:val="138"/>
        <w:rPr>
          <w:rFonts w:hint="eastAsia" w:hAnsi="黑体" w:cs="黑体"/>
          <w:color w:val="auto"/>
          <w:szCs w:val="32"/>
        </w:rPr>
        <w:sectPr>
          <w:footerReference r:id="rId9" w:type="default"/>
          <w:headerReference r:id="rId8" w:type="even"/>
          <w:pgSz w:w="11906" w:h="16838"/>
          <w:pgMar w:top="567" w:right="1134" w:bottom="1134" w:left="1418" w:header="1418" w:footer="1134" w:gutter="0"/>
          <w:pgNumType w:fmt="upperRoman"/>
          <w:cols w:space="720" w:num="1"/>
          <w:formProt w:val="0"/>
          <w:docGrid w:type="lines" w:linePitch="312" w:charSpace="0"/>
        </w:sectPr>
      </w:pPr>
    </w:p>
    <w:p>
      <w:pPr>
        <w:pStyle w:val="138"/>
        <w:rPr>
          <w:rFonts w:hAnsi="黑体" w:cs="黑体"/>
          <w:color w:val="auto"/>
          <w:szCs w:val="32"/>
        </w:rPr>
      </w:pPr>
      <w:r>
        <w:rPr>
          <w:rFonts w:hint="eastAsia" w:hAnsi="黑体" w:cs="黑体"/>
          <w:color w:val="auto"/>
          <w:szCs w:val="32"/>
        </w:rPr>
        <w:t>餐饮服务单位节约经营服务规范</w:t>
      </w:r>
    </w:p>
    <w:p>
      <w:pPr>
        <w:pStyle w:val="111"/>
        <w:ind w:left="0"/>
        <w:rPr>
          <w:rFonts w:hAnsi="黑体"/>
          <w:bCs/>
          <w:color w:val="auto"/>
        </w:rPr>
      </w:pPr>
      <w:bookmarkStart w:id="3" w:name="_Toc247618192"/>
      <w:bookmarkStart w:id="4" w:name="_Toc304561685"/>
      <w:bookmarkStart w:id="5" w:name="_Toc247618047"/>
      <w:bookmarkStart w:id="6" w:name="_Toc327198189"/>
      <w:bookmarkStart w:id="7" w:name="_Toc7697"/>
      <w:r>
        <w:rPr>
          <w:rFonts w:hAnsi="黑体"/>
          <w:bCs/>
          <w:color w:val="auto"/>
        </w:rPr>
        <w:t>范围</w:t>
      </w:r>
      <w:bookmarkEnd w:id="3"/>
      <w:bookmarkEnd w:id="4"/>
      <w:bookmarkEnd w:id="5"/>
      <w:bookmarkEnd w:id="6"/>
      <w:bookmarkEnd w:id="7"/>
    </w:p>
    <w:p>
      <w:pPr>
        <w:pStyle w:val="28"/>
        <w:rPr>
          <w:rFonts w:hAnsi="宋体" w:cs="宋体"/>
          <w:color w:val="auto"/>
          <w:szCs w:val="22"/>
        </w:rPr>
      </w:pPr>
      <w:r>
        <w:rPr>
          <w:rFonts w:hint="eastAsia" w:hAnsi="宋体" w:cs="宋体"/>
          <w:color w:val="auto"/>
          <w:szCs w:val="22"/>
          <w:lang w:eastAsia="zh-TW"/>
        </w:rPr>
        <w:t>本</w:t>
      </w:r>
      <w:r>
        <w:rPr>
          <w:rFonts w:hint="eastAsia" w:hAnsi="宋体" w:cs="宋体"/>
          <w:color w:val="auto"/>
          <w:szCs w:val="22"/>
        </w:rPr>
        <w:t>文件规定了餐饮服务单位在管理要求、制度建设、菜品设计、采购与贮藏、加工操作、服务要求、</w:t>
      </w:r>
      <w:r>
        <w:rPr>
          <w:rFonts w:hint="eastAsia" w:hAnsi="宋体" w:cs="宋体"/>
          <w:bCs/>
          <w:color w:val="auto"/>
          <w:szCs w:val="22"/>
        </w:rPr>
        <w:t>服务设备设施及低值易耗品</w:t>
      </w:r>
      <w:r>
        <w:rPr>
          <w:rFonts w:hint="eastAsia" w:hAnsi="宋体" w:cs="宋体"/>
          <w:color w:val="auto"/>
          <w:szCs w:val="22"/>
        </w:rPr>
        <w:t>、服务人员、宣传教育、服务培训、监督、评价与改进等方面可采取的节约管理要求。</w:t>
      </w:r>
      <w:bookmarkStart w:id="8" w:name="bookmark3"/>
      <w:bookmarkEnd w:id="8"/>
    </w:p>
    <w:p>
      <w:pPr>
        <w:pStyle w:val="28"/>
        <w:rPr>
          <w:rFonts w:hAnsi="宋体" w:cs="宋体"/>
          <w:color w:val="auto"/>
          <w:szCs w:val="22"/>
        </w:rPr>
      </w:pPr>
      <w:r>
        <w:rPr>
          <w:rFonts w:hint="eastAsia"/>
          <w:color w:val="auto"/>
        </w:rPr>
        <w:t>本文件适用于餐饮服务单位的餐饮节约经营管理与服务行为</w:t>
      </w:r>
      <w:r>
        <w:rPr>
          <w:rFonts w:hint="eastAsia" w:hAnsi="宋体" w:cs="宋体"/>
          <w:color w:val="auto"/>
          <w:szCs w:val="22"/>
        </w:rPr>
        <w:t>。</w:t>
      </w:r>
    </w:p>
    <w:p>
      <w:pPr>
        <w:pStyle w:val="111"/>
        <w:tabs>
          <w:tab w:val="left" w:pos="8225"/>
        </w:tabs>
        <w:ind w:left="0"/>
        <w:rPr>
          <w:rFonts w:hAnsi="黑体"/>
          <w:bCs/>
          <w:color w:val="auto"/>
        </w:rPr>
      </w:pPr>
      <w:bookmarkStart w:id="9" w:name="_Toc327198190"/>
      <w:bookmarkStart w:id="10" w:name="_Toc304561686"/>
      <w:bookmarkStart w:id="11" w:name="_Toc247618048"/>
      <w:bookmarkStart w:id="12" w:name="_Toc247618193"/>
      <w:bookmarkStart w:id="13" w:name="_Toc28785"/>
      <w:r>
        <w:rPr>
          <w:rFonts w:hAnsi="黑体"/>
          <w:bCs/>
          <w:color w:val="auto"/>
        </w:rPr>
        <w:t>规范性引用文件</w:t>
      </w:r>
      <w:bookmarkEnd w:id="9"/>
      <w:bookmarkEnd w:id="10"/>
      <w:bookmarkEnd w:id="11"/>
      <w:bookmarkEnd w:id="12"/>
      <w:bookmarkEnd w:id="13"/>
      <w:r>
        <w:rPr>
          <w:rFonts w:hint="eastAsia" w:hAnsi="黑体"/>
          <w:bCs/>
          <w:color w:val="auto"/>
          <w:lang w:eastAsia="zh-CN"/>
        </w:rPr>
        <w:tab/>
      </w:r>
    </w:p>
    <w:p>
      <w:pPr>
        <w:pStyle w:val="28"/>
        <w:rPr>
          <w:rFonts w:ascii="Times New Roman"/>
          <w:color w:val="auto"/>
        </w:rPr>
      </w:pPr>
      <w:bookmarkStart w:id="14" w:name="OLE_LINK47"/>
      <w:r>
        <w:rPr>
          <w:rFonts w:ascii="Times New Roman"/>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left="420"/>
        <w:rPr>
          <w:rFonts w:ascii="宋体" w:hAnsi="宋体" w:cs="宋体"/>
          <w:color w:val="auto"/>
          <w:kern w:val="0"/>
          <w:szCs w:val="20"/>
        </w:rPr>
      </w:pPr>
      <w:r>
        <w:rPr>
          <w:rFonts w:hint="eastAsia" w:ascii="宋体" w:hAnsi="宋体" w:cs="宋体"/>
          <w:color w:val="auto"/>
          <w:kern w:val="0"/>
          <w:szCs w:val="20"/>
        </w:rPr>
        <w:t>GB 18483  饮食业油烟排放标准</w:t>
      </w:r>
    </w:p>
    <w:p>
      <w:pPr>
        <w:ind w:left="420"/>
        <w:rPr>
          <w:rFonts w:ascii="宋体" w:hAnsi="宋体" w:cs="宋体"/>
          <w:color w:val="auto"/>
          <w:kern w:val="0"/>
          <w:szCs w:val="20"/>
        </w:rPr>
      </w:pPr>
      <w:r>
        <w:rPr>
          <w:rFonts w:hint="eastAsia" w:ascii="宋体" w:hAnsi="宋体" w:cs="宋体"/>
          <w:color w:val="auto"/>
          <w:kern w:val="0"/>
          <w:szCs w:val="20"/>
        </w:rPr>
        <w:t>GB/T 39002  餐饮分餐制服务指南</w:t>
      </w:r>
    </w:p>
    <w:p>
      <w:pPr>
        <w:ind w:left="420"/>
        <w:rPr>
          <w:rFonts w:ascii="宋体" w:hAnsi="宋体" w:cs="宋体"/>
          <w:color w:val="auto"/>
          <w:kern w:val="0"/>
          <w:szCs w:val="20"/>
        </w:rPr>
      </w:pPr>
      <w:bookmarkStart w:id="15" w:name="bookmark4"/>
      <w:bookmarkEnd w:id="15"/>
      <w:r>
        <w:rPr>
          <w:rFonts w:hint="eastAsia" w:ascii="宋体" w:hAnsi="宋体" w:cs="宋体"/>
          <w:color w:val="auto"/>
          <w:kern w:val="0"/>
          <w:szCs w:val="20"/>
        </w:rPr>
        <w:t>GB/T 40041  外卖餐品信息描述规范</w:t>
      </w:r>
    </w:p>
    <w:p>
      <w:pPr>
        <w:ind w:left="420"/>
        <w:rPr>
          <w:rFonts w:ascii="宋体" w:hAnsi="宋体" w:cs="宋体"/>
          <w:color w:val="auto"/>
          <w:kern w:val="0"/>
          <w:szCs w:val="20"/>
        </w:rPr>
      </w:pPr>
      <w:r>
        <w:rPr>
          <w:rFonts w:hint="eastAsia" w:ascii="宋体" w:hAnsi="宋体" w:cs="宋体"/>
          <w:color w:val="auto"/>
          <w:kern w:val="0"/>
          <w:szCs w:val="20"/>
        </w:rPr>
        <w:t>GB 50189  公共建筑节能设计标准</w:t>
      </w:r>
    </w:p>
    <w:p>
      <w:pPr>
        <w:ind w:left="420"/>
        <w:rPr>
          <w:rFonts w:ascii="宋体" w:hAnsi="宋体" w:cs="宋体"/>
          <w:color w:val="auto"/>
          <w:kern w:val="0"/>
          <w:szCs w:val="20"/>
        </w:rPr>
      </w:pPr>
      <w:r>
        <w:rPr>
          <w:rFonts w:hint="eastAsia" w:ascii="宋体" w:hAnsi="宋体" w:cs="宋体"/>
          <w:color w:val="auto"/>
          <w:kern w:val="0"/>
          <w:szCs w:val="20"/>
        </w:rPr>
        <w:t>SB/T 11070  餐饮食品打包服务管理要求</w:t>
      </w:r>
    </w:p>
    <w:p>
      <w:pPr>
        <w:ind w:left="420"/>
        <w:rPr>
          <w:rFonts w:ascii="宋体" w:hAnsi="宋体" w:cs="宋体"/>
          <w:color w:val="auto"/>
          <w:kern w:val="0"/>
          <w:szCs w:val="20"/>
        </w:rPr>
      </w:pPr>
      <w:r>
        <w:rPr>
          <w:rFonts w:hint="eastAsia" w:ascii="宋体" w:hAnsi="宋体" w:cs="宋体"/>
          <w:color w:val="auto"/>
          <w:kern w:val="0"/>
          <w:szCs w:val="20"/>
        </w:rPr>
        <w:t>SB/T 11166  餐饮服务单位节约管理规范</w:t>
      </w:r>
    </w:p>
    <w:p>
      <w:pPr>
        <w:pStyle w:val="111"/>
        <w:ind w:left="0"/>
        <w:rPr>
          <w:rFonts w:hAnsi="黑体"/>
          <w:bCs/>
          <w:color w:val="auto"/>
        </w:rPr>
      </w:pPr>
      <w:r>
        <w:rPr>
          <w:rFonts w:hAnsi="黑体"/>
          <w:bCs/>
          <w:color w:val="auto"/>
        </w:rPr>
        <w:t>术语和定义</w:t>
      </w:r>
    </w:p>
    <w:p>
      <w:pPr>
        <w:ind w:firstLine="420" w:firstLineChars="200"/>
        <w:rPr>
          <w:color w:val="auto"/>
        </w:rPr>
      </w:pPr>
      <w:r>
        <w:rPr>
          <w:rFonts w:hint="eastAsia"/>
          <w:color w:val="auto"/>
        </w:rPr>
        <w:t>下列术语和定义适用于本文件。</w:t>
      </w:r>
    </w:p>
    <w:p>
      <w:pPr>
        <w:spacing w:line="360" w:lineRule="auto"/>
        <w:jc w:val="left"/>
        <w:rPr>
          <w:color w:val="auto"/>
        </w:rPr>
      </w:pPr>
      <w:r>
        <w:rPr>
          <w:rFonts w:hint="eastAsia" w:ascii="黑体" w:hAnsi="黑体" w:eastAsia="黑体" w:cs="黑体"/>
          <w:color w:val="auto"/>
          <w:spacing w:val="-6"/>
          <w:szCs w:val="21"/>
        </w:rPr>
        <w:t>3.1</w:t>
      </w:r>
      <w:r>
        <w:rPr>
          <w:rFonts w:hint="eastAsia"/>
          <w:color w:val="auto"/>
        </w:rPr>
        <w:t xml:space="preserve"> </w:t>
      </w:r>
    </w:p>
    <w:p>
      <w:pPr>
        <w:ind w:firstLine="420" w:firstLineChars="200"/>
        <w:rPr>
          <w:color w:val="auto"/>
        </w:rPr>
      </w:pPr>
      <w:r>
        <w:rPr>
          <w:rFonts w:hint="eastAsia" w:ascii="黑体" w:hAnsi="黑体" w:eastAsia="黑体" w:cs="黑体"/>
          <w:color w:val="auto"/>
        </w:rPr>
        <w:t>餐饮服务单位  catering service units</w:t>
      </w:r>
    </w:p>
    <w:p>
      <w:pPr>
        <w:ind w:firstLine="420" w:firstLineChars="200"/>
        <w:rPr>
          <w:color w:val="auto"/>
        </w:rPr>
      </w:pPr>
      <w:r>
        <w:rPr>
          <w:color w:val="auto"/>
        </w:rPr>
        <w:t>通过即时加工制作、商业销售和服务性劳动等，向消费者提供食品或食品和消费场所的单位，包括社会餐饮、食堂和集体用餐配送单位。</w:t>
      </w:r>
    </w:p>
    <w:p>
      <w:pPr>
        <w:spacing w:line="360" w:lineRule="auto"/>
        <w:ind w:firstLine="420" w:firstLineChars="200"/>
        <w:jc w:val="left"/>
        <w:rPr>
          <w:color w:val="auto"/>
        </w:rPr>
      </w:pPr>
      <w:r>
        <w:rPr>
          <w:color w:val="auto"/>
        </w:rPr>
        <w:t>[</w:t>
      </w:r>
      <w:r>
        <w:rPr>
          <w:rFonts w:hint="eastAsia"/>
          <w:color w:val="auto"/>
        </w:rPr>
        <w:t>来源：</w:t>
      </w:r>
      <w:r>
        <w:rPr>
          <w:color w:val="auto"/>
        </w:rPr>
        <w:t>SB/T 11166 -2022</w:t>
      </w:r>
      <w:r>
        <w:rPr>
          <w:rFonts w:hint="eastAsia"/>
          <w:color w:val="auto"/>
        </w:rPr>
        <w:t>，</w:t>
      </w:r>
      <w:r>
        <w:rPr>
          <w:color w:val="auto"/>
        </w:rPr>
        <w:t>3.1]</w:t>
      </w:r>
    </w:p>
    <w:p>
      <w:pPr>
        <w:spacing w:line="360" w:lineRule="auto"/>
        <w:jc w:val="left"/>
        <w:rPr>
          <w:rFonts w:hint="eastAsia" w:ascii="黑体" w:hAnsi="黑体" w:eastAsia="黑体" w:cs="黑体"/>
          <w:color w:val="auto"/>
          <w:spacing w:val="-6"/>
          <w:szCs w:val="21"/>
          <w:lang w:eastAsia="zh-CN"/>
        </w:rPr>
      </w:pPr>
      <w:r>
        <w:rPr>
          <w:rFonts w:hint="eastAsia" w:ascii="黑体" w:hAnsi="黑体" w:eastAsia="黑体" w:cs="黑体"/>
          <w:color w:val="auto"/>
          <w:spacing w:val="-6"/>
          <w:szCs w:val="21"/>
        </w:rPr>
        <w:t>3.</w:t>
      </w:r>
      <w:r>
        <w:rPr>
          <w:rFonts w:hint="eastAsia" w:ascii="黑体" w:hAnsi="黑体" w:eastAsia="黑体" w:cs="黑体"/>
          <w:color w:val="auto"/>
          <w:spacing w:val="-6"/>
          <w:szCs w:val="21"/>
          <w:lang w:val="en-US" w:eastAsia="zh-CN"/>
        </w:rPr>
        <w:t>2</w:t>
      </w:r>
    </w:p>
    <w:p>
      <w:pPr>
        <w:spacing w:line="360" w:lineRule="auto"/>
        <w:ind w:firstLine="396" w:firstLineChars="200"/>
        <w:jc w:val="left"/>
        <w:rPr>
          <w:rFonts w:ascii="黑体" w:hAnsi="黑体" w:eastAsia="黑体" w:cs="黑体"/>
          <w:color w:val="auto"/>
          <w:spacing w:val="-6"/>
          <w:szCs w:val="21"/>
        </w:rPr>
      </w:pPr>
      <w:r>
        <w:rPr>
          <w:rFonts w:hint="eastAsia" w:ascii="黑体" w:hAnsi="黑体" w:eastAsia="黑体" w:cs="黑体"/>
          <w:color w:val="auto"/>
          <w:spacing w:val="-6"/>
          <w:szCs w:val="21"/>
        </w:rPr>
        <w:t>小份菜  smaller dishes</w:t>
      </w:r>
    </w:p>
    <w:p>
      <w:pPr>
        <w:ind w:firstLine="420" w:firstLineChars="200"/>
        <w:rPr>
          <w:color w:val="auto"/>
        </w:rPr>
      </w:pPr>
      <w:r>
        <w:rPr>
          <w:rFonts w:hint="eastAsia"/>
          <w:color w:val="auto"/>
        </w:rPr>
        <w:t>标准菜谱中正常菜量的一部分。具体份量可依据企业不同而制定不同的标准，如可以是正常菜量的 2/3 、1/3 等均可。</w:t>
      </w:r>
    </w:p>
    <w:p>
      <w:pPr>
        <w:spacing w:line="360" w:lineRule="auto"/>
        <w:jc w:val="left"/>
        <w:rPr>
          <w:rFonts w:hint="eastAsia" w:ascii="黑体" w:hAnsi="黑体" w:eastAsia="黑体" w:cs="黑体"/>
          <w:color w:val="auto"/>
          <w:spacing w:val="-6"/>
          <w:szCs w:val="21"/>
          <w:lang w:eastAsia="zh-CN"/>
        </w:rPr>
      </w:pPr>
      <w:r>
        <w:rPr>
          <w:rFonts w:hint="eastAsia" w:ascii="黑体" w:hAnsi="黑体" w:eastAsia="黑体" w:cs="黑体"/>
          <w:color w:val="auto"/>
          <w:spacing w:val="-6"/>
          <w:szCs w:val="21"/>
        </w:rPr>
        <w:t>3.</w:t>
      </w:r>
      <w:r>
        <w:rPr>
          <w:rFonts w:hint="eastAsia" w:ascii="黑体" w:hAnsi="黑体" w:eastAsia="黑体" w:cs="黑体"/>
          <w:color w:val="auto"/>
          <w:spacing w:val="-6"/>
          <w:szCs w:val="21"/>
          <w:lang w:val="en-US" w:eastAsia="zh-CN"/>
        </w:rPr>
        <w:t>3</w:t>
      </w:r>
    </w:p>
    <w:p>
      <w:pPr>
        <w:spacing w:line="360" w:lineRule="auto"/>
        <w:ind w:firstLine="396" w:firstLineChars="200"/>
        <w:jc w:val="left"/>
        <w:rPr>
          <w:rFonts w:ascii="黑体" w:hAnsi="黑体" w:eastAsia="黑体" w:cs="黑体"/>
          <w:color w:val="auto"/>
          <w:spacing w:val="-6"/>
          <w:szCs w:val="21"/>
        </w:rPr>
      </w:pPr>
      <w:r>
        <w:rPr>
          <w:rFonts w:hint="eastAsia" w:ascii="黑体" w:hAnsi="黑体" w:eastAsia="黑体" w:cs="黑体"/>
          <w:color w:val="auto"/>
          <w:spacing w:val="-6"/>
          <w:szCs w:val="21"/>
        </w:rPr>
        <w:t>半份菜  half-portioned dishes</w:t>
      </w:r>
    </w:p>
    <w:p>
      <w:pPr>
        <w:ind w:firstLine="420" w:firstLineChars="200"/>
        <w:rPr>
          <w:color w:val="auto"/>
        </w:rPr>
      </w:pPr>
      <w:r>
        <w:rPr>
          <w:rFonts w:hint="eastAsia"/>
          <w:color w:val="auto"/>
        </w:rPr>
        <w:t>又称半例，标准菜谱中正常菜量的 1/2。</w:t>
      </w:r>
    </w:p>
    <w:p>
      <w:pPr>
        <w:spacing w:line="360" w:lineRule="auto"/>
        <w:jc w:val="left"/>
        <w:rPr>
          <w:rFonts w:hint="eastAsia" w:ascii="黑体" w:hAnsi="黑体" w:eastAsia="黑体" w:cs="黑体"/>
          <w:color w:val="auto"/>
          <w:spacing w:val="-6"/>
          <w:szCs w:val="21"/>
          <w:lang w:eastAsia="zh-CN"/>
        </w:rPr>
      </w:pPr>
      <w:r>
        <w:rPr>
          <w:rFonts w:hint="eastAsia" w:ascii="黑体" w:hAnsi="黑体" w:eastAsia="黑体" w:cs="黑体"/>
          <w:color w:val="auto"/>
          <w:spacing w:val="-6"/>
          <w:szCs w:val="21"/>
        </w:rPr>
        <w:t>3.</w:t>
      </w:r>
      <w:r>
        <w:rPr>
          <w:rFonts w:hint="eastAsia" w:ascii="黑体" w:hAnsi="黑体" w:eastAsia="黑体" w:cs="黑体"/>
          <w:color w:val="auto"/>
          <w:spacing w:val="-6"/>
          <w:szCs w:val="21"/>
          <w:lang w:val="en-US" w:eastAsia="zh-CN"/>
        </w:rPr>
        <w:t>4</w:t>
      </w:r>
    </w:p>
    <w:p>
      <w:pPr>
        <w:spacing w:line="360" w:lineRule="auto"/>
        <w:ind w:firstLine="396" w:firstLineChars="200"/>
        <w:jc w:val="left"/>
        <w:rPr>
          <w:rFonts w:ascii="黑体" w:hAnsi="黑体" w:eastAsia="黑体" w:cs="黑体"/>
          <w:color w:val="auto"/>
          <w:spacing w:val="-6"/>
          <w:szCs w:val="21"/>
        </w:rPr>
      </w:pPr>
      <w:r>
        <w:rPr>
          <w:rFonts w:hint="eastAsia" w:ascii="黑体" w:hAnsi="黑体" w:eastAsia="黑体" w:cs="黑体"/>
          <w:color w:val="auto"/>
          <w:spacing w:val="-6"/>
          <w:szCs w:val="21"/>
        </w:rPr>
        <w:t>合盘菜  assorted dishes</w:t>
      </w:r>
    </w:p>
    <w:p>
      <w:pPr>
        <w:ind w:firstLine="420" w:firstLineChars="200"/>
        <w:rPr>
          <w:color w:val="auto"/>
        </w:rPr>
      </w:pPr>
      <w:r>
        <w:rPr>
          <w:rFonts w:hint="eastAsia"/>
          <w:color w:val="auto"/>
        </w:rPr>
        <w:t>也称拼盘菜，将多种不同品类或不同食材的小份菜肴拼成一份正常菜量的菜肴。</w:t>
      </w:r>
    </w:p>
    <w:p>
      <w:pPr>
        <w:spacing w:line="360" w:lineRule="auto"/>
        <w:jc w:val="left"/>
        <w:rPr>
          <w:rFonts w:hint="eastAsia" w:ascii="黑体" w:hAnsi="黑体" w:eastAsia="黑体" w:cs="黑体"/>
          <w:color w:val="auto"/>
          <w:spacing w:val="-6"/>
          <w:szCs w:val="21"/>
          <w:lang w:eastAsia="zh-CN"/>
        </w:rPr>
      </w:pPr>
      <w:r>
        <w:rPr>
          <w:rFonts w:ascii="黑体" w:hAnsi="黑体" w:eastAsia="黑体" w:cs="黑体"/>
          <w:color w:val="auto"/>
          <w:spacing w:val="-6"/>
          <w:szCs w:val="21"/>
        </w:rPr>
        <w:t>3.</w:t>
      </w:r>
      <w:r>
        <w:rPr>
          <w:rFonts w:hint="eastAsia" w:ascii="黑体" w:hAnsi="黑体" w:eastAsia="黑体" w:cs="黑体"/>
          <w:color w:val="auto"/>
          <w:spacing w:val="-6"/>
          <w:szCs w:val="21"/>
          <w:lang w:val="en-US" w:eastAsia="zh-CN"/>
        </w:rPr>
        <w:t>5</w:t>
      </w:r>
    </w:p>
    <w:p>
      <w:pPr>
        <w:spacing w:line="360" w:lineRule="auto"/>
        <w:ind w:firstLine="396" w:firstLineChars="200"/>
        <w:jc w:val="left"/>
        <w:rPr>
          <w:rFonts w:ascii="黑体" w:hAnsi="黑体" w:eastAsia="黑体" w:cs="黑体"/>
          <w:color w:val="auto"/>
          <w:spacing w:val="-6"/>
          <w:szCs w:val="21"/>
        </w:rPr>
      </w:pPr>
      <w:r>
        <w:rPr>
          <w:rFonts w:hint="eastAsia" w:ascii="黑体" w:hAnsi="黑体" w:eastAsia="黑体" w:cs="黑体"/>
          <w:color w:val="auto"/>
          <w:spacing w:val="-6"/>
          <w:szCs w:val="21"/>
        </w:rPr>
        <w:t>位上菜</w:t>
      </w:r>
      <w:r>
        <w:rPr>
          <w:rFonts w:ascii="黑体" w:hAnsi="黑体" w:eastAsia="黑体" w:cs="黑体"/>
          <w:color w:val="auto"/>
          <w:spacing w:val="-6"/>
          <w:szCs w:val="21"/>
        </w:rPr>
        <w:t xml:space="preserve">  serve dishes by the seat</w:t>
      </w:r>
    </w:p>
    <w:p>
      <w:pPr>
        <w:ind w:firstLine="420" w:firstLineChars="200"/>
        <w:rPr>
          <w:color w:val="auto"/>
        </w:rPr>
      </w:pPr>
      <w:r>
        <w:rPr>
          <w:rFonts w:hint="eastAsia"/>
          <w:color w:val="auto"/>
        </w:rPr>
        <w:t>按位上的菜，就是一人一位的菜式。</w:t>
      </w:r>
    </w:p>
    <w:p>
      <w:pPr>
        <w:spacing w:line="360" w:lineRule="auto"/>
        <w:jc w:val="left"/>
        <w:rPr>
          <w:rFonts w:hint="eastAsia" w:ascii="黑体" w:hAnsi="黑体" w:eastAsia="黑体" w:cs="黑体"/>
          <w:color w:val="auto"/>
          <w:spacing w:val="-6"/>
          <w:szCs w:val="21"/>
          <w:lang w:eastAsia="zh-CN"/>
        </w:rPr>
      </w:pPr>
      <w:r>
        <w:rPr>
          <w:rFonts w:hint="eastAsia" w:ascii="黑体" w:hAnsi="黑体" w:eastAsia="黑体" w:cs="黑体"/>
          <w:color w:val="auto"/>
          <w:spacing w:val="-6"/>
          <w:szCs w:val="21"/>
        </w:rPr>
        <w:t>3</w:t>
      </w:r>
      <w:r>
        <w:rPr>
          <w:rFonts w:ascii="黑体" w:hAnsi="黑体" w:eastAsia="黑体" w:cs="黑体"/>
          <w:color w:val="auto"/>
          <w:spacing w:val="-6"/>
          <w:szCs w:val="21"/>
        </w:rPr>
        <w:t>.</w:t>
      </w:r>
      <w:r>
        <w:rPr>
          <w:rFonts w:hint="eastAsia" w:ascii="黑体" w:hAnsi="黑体" w:eastAsia="黑体" w:cs="黑体"/>
          <w:color w:val="auto"/>
          <w:spacing w:val="-6"/>
          <w:szCs w:val="21"/>
          <w:lang w:val="en-US" w:eastAsia="zh-CN"/>
        </w:rPr>
        <w:t>6</w:t>
      </w:r>
    </w:p>
    <w:p>
      <w:pPr>
        <w:spacing w:line="360" w:lineRule="auto"/>
        <w:ind w:firstLine="396" w:firstLineChars="200"/>
        <w:jc w:val="left"/>
        <w:rPr>
          <w:rFonts w:ascii="黑体" w:hAnsi="黑体" w:eastAsia="黑体" w:cs="黑体"/>
          <w:color w:val="auto"/>
          <w:spacing w:val="-6"/>
          <w:szCs w:val="21"/>
        </w:rPr>
      </w:pPr>
      <w:r>
        <w:rPr>
          <w:rFonts w:hint="eastAsia" w:ascii="黑体" w:hAnsi="黑体" w:eastAsia="黑体" w:cs="黑体"/>
          <w:color w:val="auto"/>
          <w:spacing w:val="-6"/>
          <w:szCs w:val="21"/>
        </w:rPr>
        <w:t>点菜师  meal</w:t>
      </w:r>
      <w:r>
        <w:rPr>
          <w:rFonts w:ascii="黑体" w:hAnsi="黑体" w:eastAsia="黑体" w:cs="黑体"/>
          <w:color w:val="auto"/>
          <w:spacing w:val="-6"/>
          <w:szCs w:val="21"/>
        </w:rPr>
        <w:t> ordering</w:t>
      </w:r>
      <w:r>
        <w:rPr>
          <w:rFonts w:hint="eastAsia" w:ascii="黑体" w:hAnsi="黑体" w:eastAsia="黑体" w:cs="黑体"/>
          <w:color w:val="auto"/>
          <w:spacing w:val="-6"/>
          <w:szCs w:val="21"/>
        </w:rPr>
        <w:t xml:space="preserve"> </w:t>
      </w:r>
      <w:r>
        <w:rPr>
          <w:rFonts w:ascii="黑体" w:hAnsi="黑体" w:eastAsia="黑体" w:cs="黑体"/>
          <w:color w:val="auto"/>
          <w:spacing w:val="-6"/>
          <w:szCs w:val="21"/>
        </w:rPr>
        <w:t>guides</w:t>
      </w:r>
    </w:p>
    <w:p>
      <w:pPr>
        <w:ind w:firstLine="420" w:firstLineChars="200"/>
        <w:rPr>
          <w:color w:val="auto"/>
        </w:rPr>
      </w:pPr>
      <w:r>
        <w:rPr>
          <w:rFonts w:hint="eastAsia"/>
          <w:color w:val="auto"/>
        </w:rPr>
        <w:t>具备一定的餐饮专业知识和能力，尤其熟知餐饮服务单位所经营的菜市品种、点菜流程和不同类型顾客的用餐需求，能为顾客提供专业化、标准化、个性化点菜服务的专业人才。</w:t>
      </w:r>
    </w:p>
    <w:p>
      <w:pPr>
        <w:pStyle w:val="111"/>
        <w:ind w:left="0"/>
        <w:rPr>
          <w:rFonts w:ascii="宋体" w:hAnsi="宋体" w:eastAsia="宋体" w:cs="宋体"/>
          <w:color w:val="auto"/>
          <w:spacing w:val="-6"/>
          <w:szCs w:val="21"/>
        </w:rPr>
      </w:pPr>
      <w:r>
        <w:rPr>
          <w:rFonts w:hint="eastAsia" w:hAnsi="黑体"/>
          <w:bCs/>
          <w:color w:val="auto"/>
        </w:rPr>
        <w:t>管理要求</w:t>
      </w:r>
    </w:p>
    <w:p>
      <w:pPr>
        <w:pStyle w:val="28"/>
        <w:ind w:firstLine="2" w:firstLineChars="1"/>
        <w:rPr>
          <w:color w:val="auto"/>
        </w:rPr>
      </w:pPr>
      <w:r>
        <w:rPr>
          <w:rFonts w:hint="eastAsia" w:ascii="黑体" w:hAnsi="黑体" w:eastAsia="黑体" w:cs="黑体"/>
          <w:color w:val="auto"/>
        </w:rPr>
        <w:t>4.1</w:t>
      </w:r>
      <w:r>
        <w:rPr>
          <w:rFonts w:hint="eastAsia"/>
          <w:color w:val="auto"/>
        </w:rPr>
        <w:t xml:space="preserve">  应建立并倡导“厉行节约、反对浪费”的文化，通过多种形式宣传“厉行节约、反对浪费”，营造“厉行节约、反对浪费”的消费环境。</w:t>
      </w:r>
    </w:p>
    <w:p>
      <w:pPr>
        <w:pStyle w:val="28"/>
        <w:ind w:firstLine="2" w:firstLineChars="1"/>
        <w:rPr>
          <w:color w:val="auto"/>
        </w:rPr>
      </w:pPr>
      <w:r>
        <w:rPr>
          <w:rFonts w:hint="eastAsia" w:ascii="黑体" w:hAnsi="黑体" w:eastAsia="黑体" w:cs="黑体"/>
          <w:color w:val="auto"/>
        </w:rPr>
        <w:t xml:space="preserve">4.2 </w:t>
      </w:r>
      <w:r>
        <w:rPr>
          <w:rFonts w:hint="eastAsia"/>
          <w:color w:val="auto"/>
        </w:rPr>
        <w:t xml:space="preserve"> 应积极推行节约餐饮模式，将制止餐饮浪费纳入到餐饮经营服务全过程。</w:t>
      </w:r>
    </w:p>
    <w:p>
      <w:pPr>
        <w:pStyle w:val="28"/>
        <w:ind w:firstLine="2" w:firstLineChars="1"/>
        <w:rPr>
          <w:color w:val="auto"/>
        </w:rPr>
      </w:pPr>
      <w:r>
        <w:rPr>
          <w:rFonts w:ascii="黑体" w:hAnsi="黑体" w:eastAsia="黑体" w:cs="黑体"/>
          <w:color w:val="auto"/>
        </w:rPr>
        <w:t xml:space="preserve">4.3 </w:t>
      </w:r>
      <w:r>
        <w:rPr>
          <w:color w:val="auto"/>
        </w:rPr>
        <w:t xml:space="preserve"> </w:t>
      </w:r>
      <w:r>
        <w:rPr>
          <w:rFonts w:hint="eastAsia"/>
          <w:color w:val="auto"/>
        </w:rPr>
        <w:t>应制止餐饮浪费，提倡制止餐饮浪费是所有餐饮工作服务人员与消费者的共同责任。</w:t>
      </w:r>
    </w:p>
    <w:bookmarkEnd w:id="14"/>
    <w:p>
      <w:pPr>
        <w:pStyle w:val="111"/>
        <w:ind w:left="0"/>
        <w:rPr>
          <w:rFonts w:hAnsi="黑体"/>
          <w:bCs/>
          <w:color w:val="auto"/>
        </w:rPr>
      </w:pPr>
      <w:bookmarkStart w:id="16" w:name="_Toc247618049"/>
      <w:bookmarkEnd w:id="16"/>
      <w:bookmarkStart w:id="17" w:name="_Toc247618194"/>
      <w:bookmarkEnd w:id="17"/>
      <w:r>
        <w:rPr>
          <w:rFonts w:hint="eastAsia" w:hAnsi="黑体"/>
          <w:bCs/>
          <w:color w:val="auto"/>
        </w:rPr>
        <w:t>制度建设</w:t>
      </w:r>
      <w:r>
        <w:rPr>
          <w:rFonts w:hAnsi="黑体"/>
          <w:bCs/>
          <w:color w:val="auto"/>
        </w:rPr>
        <w:tab/>
      </w:r>
    </w:p>
    <w:p>
      <w:pPr>
        <w:pStyle w:val="61"/>
        <w:spacing w:before="0" w:beforeLines="0" w:after="0" w:afterLines="0"/>
        <w:ind w:left="11" w:hanging="11"/>
        <w:rPr>
          <w:rFonts w:ascii="宋体" w:hAnsi="宋体" w:eastAsia="宋体" w:cs="宋体"/>
          <w:color w:val="auto"/>
          <w:spacing w:val="-6"/>
        </w:rPr>
      </w:pPr>
      <w:r>
        <w:rPr>
          <w:rFonts w:hint="eastAsia" w:ascii="宋体" w:hAnsi="宋体" w:eastAsia="宋体" w:cs="宋体"/>
          <w:color w:val="auto"/>
          <w:spacing w:val="-6"/>
        </w:rPr>
        <w:t>餐饮服务单位</w:t>
      </w:r>
      <w:r>
        <w:rPr>
          <w:rFonts w:ascii="宋体" w:hAnsi="宋体" w:eastAsia="宋体" w:cs="宋体"/>
          <w:color w:val="auto"/>
          <w:spacing w:val="-6"/>
        </w:rPr>
        <w:t>应制定能源使用、食材采购、</w:t>
      </w:r>
      <w:r>
        <w:rPr>
          <w:rFonts w:hint="eastAsia" w:ascii="宋体" w:hAnsi="宋体" w:eastAsia="宋体" w:cs="宋体"/>
          <w:color w:val="auto"/>
          <w:spacing w:val="-6"/>
        </w:rPr>
        <w:t>贮藏</w:t>
      </w:r>
      <w:r>
        <w:rPr>
          <w:rFonts w:ascii="宋体" w:hAnsi="宋体" w:eastAsia="宋体" w:cs="宋体"/>
          <w:color w:val="auto"/>
          <w:spacing w:val="-6"/>
        </w:rPr>
        <w:t>、加工操作、服务</w:t>
      </w:r>
      <w:r>
        <w:rPr>
          <w:rFonts w:hint="eastAsia" w:ascii="宋体" w:hAnsi="宋体" w:eastAsia="宋体" w:cs="宋体"/>
          <w:color w:val="auto"/>
          <w:spacing w:val="-6"/>
        </w:rPr>
        <w:t>、人员培训、宣传</w:t>
      </w:r>
      <w:r>
        <w:rPr>
          <w:rFonts w:ascii="宋体" w:hAnsi="宋体" w:eastAsia="宋体" w:cs="宋体"/>
          <w:color w:val="auto"/>
          <w:spacing w:val="-6"/>
        </w:rPr>
        <w:t>环节等方面的节约制度。</w:t>
      </w:r>
    </w:p>
    <w:p>
      <w:pPr>
        <w:pStyle w:val="61"/>
        <w:spacing w:before="0" w:beforeLines="0" w:after="0" w:afterLines="0"/>
        <w:ind w:left="11" w:hanging="11"/>
        <w:rPr>
          <w:rFonts w:hAnsi="黑体"/>
          <w:color w:val="auto"/>
        </w:rPr>
      </w:pPr>
      <w:r>
        <w:rPr>
          <w:rFonts w:hint="eastAsia" w:ascii="宋体" w:hAnsi="宋体" w:eastAsia="宋体" w:cs="宋体"/>
          <w:color w:val="auto"/>
          <w:spacing w:val="-6"/>
        </w:rPr>
        <w:t>应制定菜谱标准与菜品分量标准，严格按照要求进行生产</w:t>
      </w:r>
      <w:r>
        <w:rPr>
          <w:rFonts w:hint="eastAsia" w:ascii="宋体" w:hAnsi="Times New Roman" w:eastAsia="宋体" w:cs="Times New Roman"/>
          <w:color w:val="auto"/>
          <w:sz w:val="21"/>
          <w:szCs w:val="20"/>
          <w:lang w:val="en-US" w:eastAsia="zh-CN" w:bidi="ar-SA"/>
        </w:rPr>
        <w:t>和装盘，禁止菜品随心所欲、分量高</w:t>
      </w:r>
      <w:r>
        <w:rPr>
          <w:rFonts w:hint="eastAsia" w:ascii="宋体" w:hAnsi="宋体" w:eastAsia="宋体" w:cs="宋体"/>
          <w:color w:val="auto"/>
          <w:spacing w:val="-6"/>
        </w:rPr>
        <w:t>低不定。</w:t>
      </w:r>
    </w:p>
    <w:p>
      <w:pPr>
        <w:pStyle w:val="61"/>
        <w:spacing w:before="0" w:beforeLines="0" w:after="0" w:afterLines="0"/>
        <w:ind w:left="11" w:hanging="11"/>
        <w:rPr>
          <w:rFonts w:hAnsi="黑体"/>
          <w:color w:val="auto"/>
        </w:rPr>
      </w:pPr>
      <w:r>
        <w:rPr>
          <w:rFonts w:ascii="宋体" w:hAnsi="宋体" w:eastAsia="宋体" w:cs="宋体"/>
          <w:color w:val="auto"/>
          <w:spacing w:val="-6"/>
        </w:rPr>
        <w:t>应制定包括但不限于水、电、气、煤等能源节约</w:t>
      </w:r>
      <w:r>
        <w:rPr>
          <w:rFonts w:hint="eastAsia" w:ascii="宋体" w:hAnsi="宋体" w:eastAsia="宋体" w:cs="宋体"/>
          <w:color w:val="auto"/>
          <w:spacing w:val="-6"/>
        </w:rPr>
        <w:t>制度</w:t>
      </w:r>
      <w:r>
        <w:rPr>
          <w:rFonts w:ascii="宋体" w:hAnsi="宋体" w:eastAsia="宋体" w:cs="宋体"/>
          <w:color w:val="auto"/>
          <w:spacing w:val="-6"/>
        </w:rPr>
        <w:t>。</w:t>
      </w:r>
    </w:p>
    <w:p>
      <w:pPr>
        <w:pStyle w:val="61"/>
        <w:spacing w:before="0" w:beforeLines="0" w:after="0" w:afterLines="0"/>
        <w:ind w:left="11" w:hanging="11"/>
        <w:rPr>
          <w:rFonts w:hAnsi="黑体"/>
          <w:color w:val="auto"/>
        </w:rPr>
      </w:pPr>
      <w:r>
        <w:rPr>
          <w:rFonts w:ascii="宋体" w:hAnsi="宋体" w:eastAsia="宋体" w:cs="宋体"/>
          <w:color w:val="auto"/>
          <w:spacing w:val="-6"/>
        </w:rPr>
        <w:t>安排专人负责落实节约制度的各项要求</w:t>
      </w:r>
      <w:r>
        <w:rPr>
          <w:rFonts w:hint="eastAsia" w:ascii="宋体" w:hAnsi="宋体" w:eastAsia="宋体" w:cs="宋体"/>
          <w:color w:val="auto"/>
          <w:spacing w:val="-6"/>
        </w:rPr>
        <w:t>，</w:t>
      </w:r>
      <w:r>
        <w:rPr>
          <w:rFonts w:ascii="宋体" w:hAnsi="宋体" w:eastAsia="宋体" w:cs="宋体"/>
          <w:color w:val="auto"/>
          <w:spacing w:val="-6"/>
        </w:rPr>
        <w:t>宜把节约效果纳入岗位考核中。</w:t>
      </w:r>
    </w:p>
    <w:p>
      <w:pPr>
        <w:pStyle w:val="61"/>
        <w:spacing w:before="0" w:beforeLines="0" w:after="0" w:afterLines="0"/>
        <w:ind w:left="11" w:hanging="11"/>
        <w:rPr>
          <w:color w:val="auto"/>
        </w:rPr>
      </w:pPr>
      <w:r>
        <w:rPr>
          <w:rFonts w:ascii="宋体" w:hAnsi="宋体" w:eastAsia="宋体" w:cs="宋体"/>
          <w:color w:val="auto"/>
          <w:spacing w:val="-6"/>
        </w:rPr>
        <w:t>定</w:t>
      </w:r>
      <w:r>
        <w:rPr>
          <w:rFonts w:ascii="宋体" w:eastAsia="宋体"/>
          <w:color w:val="auto"/>
          <w:szCs w:val="20"/>
        </w:rPr>
        <w:t>期对节约制度落实情况进行考核测评，根据节约成效，对相应负责人实施奖惩措施，并将考核结果在单位内部公示</w:t>
      </w:r>
      <w:r>
        <w:rPr>
          <w:rFonts w:hint="eastAsia" w:ascii="宋体" w:eastAsia="宋体"/>
          <w:color w:val="auto"/>
          <w:szCs w:val="20"/>
        </w:rPr>
        <w:t>。</w:t>
      </w:r>
    </w:p>
    <w:p>
      <w:pPr>
        <w:pStyle w:val="61"/>
        <w:spacing w:before="0" w:beforeLines="0" w:after="0" w:afterLines="0"/>
        <w:ind w:left="11" w:hanging="11"/>
        <w:rPr>
          <w:color w:val="auto"/>
        </w:rPr>
      </w:pPr>
      <w:r>
        <w:rPr>
          <w:rFonts w:hint="eastAsia" w:ascii="宋体" w:hAnsi="宋体" w:eastAsia="宋体" w:cs="宋体"/>
          <w:color w:val="auto"/>
        </w:rPr>
        <w:t>应建立人员培训制度，提高人员节约意识和服务技能水平。</w:t>
      </w:r>
    </w:p>
    <w:p>
      <w:pPr>
        <w:pStyle w:val="61"/>
        <w:spacing w:before="0" w:beforeLines="0" w:after="0" w:afterLines="0"/>
        <w:ind w:left="11" w:hanging="11"/>
        <w:rPr>
          <w:color w:val="auto"/>
        </w:rPr>
      </w:pPr>
      <w:r>
        <w:rPr>
          <w:rFonts w:hint="eastAsia" w:ascii="宋体" w:hAnsi="宋体" w:eastAsia="宋体" w:cs="宋体"/>
          <w:color w:val="auto"/>
        </w:rPr>
        <w:t>应建立顾客投诉制度，指定专人受理、处理消费者投诉。</w:t>
      </w:r>
    </w:p>
    <w:p>
      <w:pPr>
        <w:pStyle w:val="61"/>
        <w:spacing w:before="0" w:beforeLines="0" w:after="0" w:afterLines="0"/>
        <w:ind w:left="11" w:hanging="11"/>
        <w:rPr>
          <w:rFonts w:ascii="宋体" w:hAnsi="宋体" w:eastAsia="宋体" w:cs="宋体"/>
          <w:color w:val="auto"/>
        </w:rPr>
      </w:pPr>
      <w:r>
        <w:rPr>
          <w:rFonts w:hint="eastAsia" w:ascii="宋体" w:hAnsi="宋体" w:eastAsia="宋体" w:cs="宋体"/>
          <w:color w:val="auto"/>
        </w:rPr>
        <w:t>宜建立厨余垃圾追踪分析管理制度，对剩餐较多的菜品及时改进烹制工艺、提高食用性，减少因烹饪工艺问题带来的剩餐浪费。</w:t>
      </w:r>
    </w:p>
    <w:p>
      <w:pPr>
        <w:pStyle w:val="61"/>
        <w:spacing w:before="0" w:beforeLines="0" w:after="0" w:afterLines="0"/>
        <w:ind w:left="11" w:hanging="11"/>
        <w:rPr>
          <w:rFonts w:ascii="宋体" w:hAnsi="宋体" w:eastAsia="宋体" w:cs="宋体"/>
          <w:color w:val="auto"/>
        </w:rPr>
      </w:pPr>
      <w:r>
        <w:rPr>
          <w:rFonts w:hint="eastAsia" w:ascii="宋体" w:hAnsi="宋体" w:eastAsia="宋体" w:cs="宋体"/>
          <w:color w:val="auto"/>
        </w:rPr>
        <w:t>规范设置菜单，注明菜品名称、主辅料、规格及销售价格，无虚假宣传。</w:t>
      </w:r>
    </w:p>
    <w:p>
      <w:pPr>
        <w:pStyle w:val="61"/>
        <w:spacing w:before="0" w:beforeLines="0" w:after="0" w:afterLines="0"/>
        <w:ind w:left="11" w:hanging="11"/>
        <w:rPr>
          <w:rFonts w:ascii="宋体" w:hAnsi="宋体" w:eastAsia="宋体" w:cs="宋体"/>
          <w:color w:val="auto"/>
          <w:spacing w:val="-6"/>
        </w:rPr>
      </w:pPr>
      <w:r>
        <w:rPr>
          <w:rFonts w:hint="eastAsia" w:ascii="宋体" w:hAnsi="宋体" w:eastAsia="宋体" w:cs="宋体"/>
          <w:color w:val="auto"/>
          <w:spacing w:val="-6"/>
        </w:rPr>
        <w:t>应明示小吃、茶位费、纸巾、服务费等所有收费标准。</w:t>
      </w:r>
    </w:p>
    <w:p>
      <w:pPr>
        <w:pStyle w:val="61"/>
        <w:spacing w:before="0" w:beforeLines="0" w:after="0" w:afterLines="0"/>
        <w:ind w:left="11" w:hanging="11"/>
        <w:rPr>
          <w:rFonts w:hint="eastAsia" w:ascii="宋体" w:hAnsi="宋体" w:eastAsia="宋体" w:cs="宋体"/>
          <w:color w:val="auto"/>
          <w:spacing w:val="-6"/>
        </w:rPr>
      </w:pPr>
      <w:r>
        <w:rPr>
          <w:rFonts w:hint="eastAsia" w:ascii="宋体" w:hAnsi="宋体" w:eastAsia="宋体" w:cs="宋体"/>
          <w:color w:val="auto"/>
          <w:spacing w:val="-6"/>
        </w:rPr>
        <w:t>不应设置最低消费。</w:t>
      </w:r>
    </w:p>
    <w:p>
      <w:pPr>
        <w:pStyle w:val="111"/>
        <w:ind w:left="0"/>
        <w:rPr>
          <w:color w:val="auto"/>
        </w:rPr>
      </w:pPr>
      <w:r>
        <w:rPr>
          <w:rFonts w:hint="eastAsia"/>
          <w:color w:val="auto"/>
        </w:rPr>
        <w:t>菜品设计</w:t>
      </w:r>
    </w:p>
    <w:p>
      <w:pPr>
        <w:pStyle w:val="61"/>
        <w:spacing w:before="0" w:beforeLines="0" w:after="0" w:afterLines="0"/>
        <w:ind w:left="0"/>
        <w:rPr>
          <w:rFonts w:ascii="宋体" w:hAnsi="宋体" w:eastAsia="宋体" w:cs="宋体"/>
          <w:color w:val="auto"/>
          <w:spacing w:val="-6"/>
        </w:rPr>
      </w:pPr>
      <w:r>
        <w:rPr>
          <w:rFonts w:hint="eastAsia" w:ascii="宋体" w:hAnsi="宋体" w:eastAsia="宋体" w:cs="宋体"/>
          <w:color w:val="auto"/>
          <w:spacing w:val="-6"/>
        </w:rPr>
        <w:t>宜根据菜品特色，合理配餐，提倡多样化供餐选择，推广套餐和位上菜，提供大、中、</w:t>
      </w:r>
      <w:r>
        <w:rPr>
          <w:rFonts w:hint="eastAsia" w:ascii="宋体" w:hAnsi="宋体" w:eastAsia="宋体" w:cs="宋体"/>
          <w:color w:val="auto"/>
          <w:spacing w:val="-6"/>
          <w:lang w:val="en-US" w:eastAsia="zh-CN"/>
        </w:rPr>
        <w:t>例牌和</w:t>
      </w:r>
      <w:r>
        <w:rPr>
          <w:rFonts w:hint="eastAsia" w:ascii="宋体" w:hAnsi="宋体" w:eastAsia="宋体" w:cs="宋体"/>
          <w:color w:val="auto"/>
          <w:spacing w:val="-6"/>
        </w:rPr>
        <w:t>小份菜品推荐</w:t>
      </w:r>
      <w:r>
        <w:rPr>
          <w:rFonts w:ascii="宋体" w:hAnsi="宋体" w:eastAsia="宋体" w:cs="宋体"/>
          <w:color w:val="auto"/>
          <w:spacing w:val="-6"/>
        </w:rPr>
        <w:t>。</w:t>
      </w:r>
    </w:p>
    <w:p>
      <w:pPr>
        <w:pStyle w:val="61"/>
        <w:spacing w:before="0" w:beforeLines="0" w:after="0" w:afterLines="0"/>
        <w:ind w:left="0"/>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spacing w:val="-6"/>
        </w:rPr>
        <w:t>宜根据顾客</w:t>
      </w:r>
      <w:r>
        <w:rPr>
          <w:rFonts w:hint="eastAsia" w:ascii="Times New Roman" w:hAnsi="Times New Roman" w:eastAsia="宋体" w:cs="Times New Roman"/>
          <w:color w:val="auto"/>
          <w:kern w:val="2"/>
          <w:sz w:val="21"/>
          <w:szCs w:val="24"/>
          <w:lang w:val="en-US" w:eastAsia="zh-CN" w:bidi="ar-SA"/>
        </w:rPr>
        <w:t>不同用餐需求，丰富菜品规格设计。</w:t>
      </w:r>
    </w:p>
    <w:p>
      <w:pPr>
        <w:pStyle w:val="61"/>
        <w:spacing w:before="0" w:beforeLines="0" w:after="0" w:afterLines="0"/>
        <w:ind w:left="0"/>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宜提高食材利用率。</w:t>
      </w:r>
    </w:p>
    <w:p>
      <w:pPr>
        <w:pStyle w:val="61"/>
        <w:spacing w:before="0" w:beforeLines="0" w:after="0" w:afterLines="0"/>
        <w:ind w:left="0"/>
        <w:rPr>
          <w:rFonts w:hint="eastAsia" w:ascii="宋体" w:hAnsi="宋体" w:eastAsia="宋体" w:cs="宋体"/>
          <w:color w:val="auto"/>
          <w:spacing w:val="-6"/>
        </w:rPr>
      </w:pPr>
      <w:r>
        <w:rPr>
          <w:rFonts w:hint="eastAsia" w:ascii="Times New Roman" w:hAnsi="Times New Roman" w:eastAsia="宋体" w:cs="Times New Roman"/>
          <w:color w:val="auto"/>
          <w:kern w:val="2"/>
          <w:sz w:val="21"/>
          <w:szCs w:val="24"/>
          <w:lang w:val="en-US" w:eastAsia="zh-CN" w:bidi="ar-SA"/>
        </w:rPr>
        <w:t>宜根据顾客剩菜废弃情况，不断优化菜品原材料的配搭比例和份量。</w:t>
      </w:r>
    </w:p>
    <w:p>
      <w:pPr>
        <w:pStyle w:val="61"/>
        <w:spacing w:before="0" w:beforeLines="0" w:after="0" w:afterLines="0"/>
        <w:ind w:left="0"/>
        <w:rPr>
          <w:rFonts w:hint="eastAsia" w:ascii="Times New Roman" w:hAnsi="Times New Roman" w:eastAsia="宋体" w:cs="Times New Roman"/>
          <w:color w:val="auto"/>
          <w:kern w:val="2"/>
          <w:sz w:val="21"/>
          <w:szCs w:val="24"/>
          <w:lang w:val="en-US" w:eastAsia="zh-CN" w:bidi="ar-SA"/>
        </w:rPr>
      </w:pPr>
      <w:r>
        <w:rPr>
          <w:rFonts w:hint="eastAsia" w:ascii="宋体" w:hAnsi="宋体" w:eastAsia="宋体" w:cs="宋体"/>
          <w:color w:val="auto"/>
          <w:spacing w:val="-6"/>
        </w:rPr>
        <w:t>宜提</w:t>
      </w:r>
      <w:r>
        <w:rPr>
          <w:rFonts w:hint="eastAsia" w:ascii="Times New Roman" w:hAnsi="Times New Roman" w:eastAsia="宋体" w:cs="Times New Roman"/>
          <w:color w:val="auto"/>
          <w:kern w:val="2"/>
          <w:sz w:val="21"/>
          <w:szCs w:val="24"/>
          <w:lang w:val="en-US" w:eastAsia="zh-CN" w:bidi="ar-SA"/>
        </w:rPr>
        <w:t>供标准化菜品，方便消费者自主搭配、自主调味。</w:t>
      </w:r>
    </w:p>
    <w:p>
      <w:pPr>
        <w:pStyle w:val="61"/>
        <w:spacing w:before="0" w:beforeLines="0" w:after="0" w:afterLines="0"/>
        <w:ind w:left="0"/>
        <w:rPr>
          <w:rFonts w:hint="eastAsia" w:ascii="宋体" w:hAnsi="宋体" w:eastAsia="宋体" w:cs="宋体"/>
          <w:color w:val="auto"/>
          <w:spacing w:val="-6"/>
        </w:rPr>
      </w:pPr>
      <w:r>
        <w:rPr>
          <w:rFonts w:hint="eastAsia" w:ascii="宋体" w:hAnsi="宋体" w:eastAsia="宋体" w:cs="宋体"/>
          <w:color w:val="auto"/>
          <w:spacing w:val="-6"/>
        </w:rPr>
        <w:t>宜根据不同人群用餐量，</w:t>
      </w:r>
      <w:r>
        <w:rPr>
          <w:rFonts w:hint="eastAsia" w:ascii="Times New Roman" w:hAnsi="Times New Roman" w:eastAsia="宋体" w:cs="Times New Roman"/>
          <w:color w:val="auto"/>
          <w:kern w:val="2"/>
          <w:sz w:val="21"/>
          <w:szCs w:val="24"/>
          <w:lang w:val="en-US" w:eastAsia="zh-CN" w:bidi="ar-SA"/>
        </w:rPr>
        <w:t>设计例</w:t>
      </w:r>
      <w:r>
        <w:rPr>
          <w:rFonts w:hint="eastAsia" w:ascii="Times New Roman" w:eastAsia="宋体" w:cs="Times New Roman"/>
          <w:color w:val="auto"/>
          <w:kern w:val="2"/>
          <w:sz w:val="21"/>
          <w:szCs w:val="24"/>
          <w:lang w:val="en-US" w:eastAsia="zh-CN" w:bidi="ar-SA"/>
        </w:rPr>
        <w:t>牌</w:t>
      </w:r>
      <w:r>
        <w:rPr>
          <w:rFonts w:hint="eastAsia" w:ascii="Times New Roman" w:hAnsi="Times New Roman" w:eastAsia="宋体" w:cs="Times New Roman"/>
          <w:color w:val="auto"/>
          <w:kern w:val="2"/>
          <w:sz w:val="21"/>
          <w:szCs w:val="24"/>
          <w:lang w:val="en-US" w:eastAsia="zh-CN" w:bidi="ar-SA"/>
        </w:rPr>
        <w:t>菜、半份菜</w:t>
      </w:r>
      <w:r>
        <w:rPr>
          <w:rFonts w:hint="eastAsia" w:ascii="Times New Roman" w:eastAsia="宋体" w:cs="Times New Roman"/>
          <w:color w:val="auto"/>
          <w:kern w:val="2"/>
          <w:sz w:val="21"/>
          <w:szCs w:val="24"/>
          <w:lang w:val="en-US" w:eastAsia="zh-CN" w:bidi="ar-SA"/>
        </w:rPr>
        <w:t>、小份菜</w:t>
      </w:r>
      <w:r>
        <w:rPr>
          <w:rFonts w:hint="eastAsia" w:ascii="Times New Roman" w:hAnsi="Times New Roman" w:eastAsia="宋体" w:cs="Times New Roman"/>
          <w:color w:val="auto"/>
          <w:kern w:val="2"/>
          <w:sz w:val="21"/>
          <w:szCs w:val="24"/>
          <w:lang w:val="en-US" w:eastAsia="zh-CN" w:bidi="ar-SA"/>
        </w:rPr>
        <w:t>或</w:t>
      </w:r>
      <w:r>
        <w:rPr>
          <w:rFonts w:hint="eastAsia" w:ascii="Times New Roman" w:eastAsia="宋体" w:cs="Times New Roman"/>
          <w:color w:val="auto"/>
          <w:kern w:val="2"/>
          <w:sz w:val="21"/>
          <w:szCs w:val="24"/>
          <w:lang w:val="en-US" w:eastAsia="zh-CN" w:bidi="ar-SA"/>
        </w:rPr>
        <w:t>合</w:t>
      </w:r>
      <w:r>
        <w:rPr>
          <w:rFonts w:hint="eastAsia" w:ascii="Times New Roman" w:hAnsi="Times New Roman" w:eastAsia="宋体" w:cs="Times New Roman"/>
          <w:color w:val="auto"/>
          <w:kern w:val="2"/>
          <w:sz w:val="21"/>
          <w:szCs w:val="24"/>
          <w:lang w:val="en-US" w:eastAsia="zh-CN" w:bidi="ar-SA"/>
        </w:rPr>
        <w:t>盘菜，减少食物浪费。</w:t>
      </w:r>
    </w:p>
    <w:p>
      <w:pPr>
        <w:pStyle w:val="61"/>
        <w:spacing w:before="0" w:beforeLines="0" w:after="0" w:afterLines="0"/>
        <w:ind w:left="0"/>
        <w:rPr>
          <w:rFonts w:hint="eastAsia" w:ascii="宋体" w:hAnsi="宋体" w:eastAsia="宋体" w:cs="宋体"/>
          <w:color w:val="auto"/>
          <w:spacing w:val="-6"/>
        </w:rPr>
      </w:pPr>
      <w:r>
        <w:rPr>
          <w:rFonts w:hint="eastAsia" w:ascii="宋体" w:hAnsi="宋体" w:eastAsia="宋体" w:cs="宋体"/>
          <w:color w:val="auto"/>
          <w:spacing w:val="-6"/>
        </w:rPr>
        <w:t>宜根</w:t>
      </w:r>
      <w:r>
        <w:rPr>
          <w:rFonts w:hint="eastAsia" w:ascii="Times New Roman" w:hAnsi="Times New Roman" w:eastAsia="宋体" w:cs="Times New Roman"/>
          <w:color w:val="auto"/>
          <w:kern w:val="2"/>
          <w:sz w:val="21"/>
          <w:szCs w:val="24"/>
          <w:lang w:val="en-US" w:eastAsia="zh-CN" w:bidi="ar-SA"/>
        </w:rPr>
        <w:t>据菜品消耗规律和就餐人数，适当提供自助餐台菜品食材供应，采用“少上勤上”原则，确保质量减少浪费。</w:t>
      </w:r>
    </w:p>
    <w:p>
      <w:pPr>
        <w:pStyle w:val="111"/>
        <w:ind w:left="0"/>
        <w:rPr>
          <w:rFonts w:hAnsi="黑体"/>
          <w:bCs/>
          <w:color w:val="auto"/>
        </w:rPr>
      </w:pPr>
      <w:r>
        <w:rPr>
          <w:rFonts w:hint="eastAsia" w:hAnsi="黑体"/>
          <w:bCs/>
          <w:color w:val="auto"/>
        </w:rPr>
        <w:t>采购</w:t>
      </w:r>
      <w:r>
        <w:rPr>
          <w:rFonts w:hint="eastAsia" w:hAnsi="黑体"/>
          <w:bCs/>
          <w:color w:val="auto"/>
          <w:lang w:eastAsia="zh-CN"/>
        </w:rPr>
        <w:t>、</w:t>
      </w:r>
      <w:r>
        <w:rPr>
          <w:rFonts w:hint="eastAsia" w:hAnsi="黑体"/>
          <w:bCs/>
          <w:color w:val="auto"/>
        </w:rPr>
        <w:t>贮藏</w:t>
      </w:r>
      <w:r>
        <w:rPr>
          <w:rFonts w:hint="eastAsia" w:hAnsi="黑体"/>
          <w:bCs/>
          <w:color w:val="auto"/>
          <w:lang w:val="en-US" w:eastAsia="zh-CN"/>
        </w:rPr>
        <w:t>及运输</w:t>
      </w:r>
    </w:p>
    <w:p>
      <w:pPr>
        <w:pStyle w:val="61"/>
        <w:ind w:left="-2"/>
        <w:rPr>
          <w:rFonts w:hAnsi="黑体"/>
          <w:color w:val="auto"/>
        </w:rPr>
      </w:pPr>
      <w:r>
        <w:rPr>
          <w:rFonts w:hint="eastAsia" w:hAnsi="黑体"/>
          <w:color w:val="auto"/>
        </w:rPr>
        <w:t>采购</w:t>
      </w:r>
    </w:p>
    <w:p>
      <w:pPr>
        <w:pStyle w:val="28"/>
        <w:ind w:firstLine="2" w:firstLineChars="1"/>
        <w:rPr>
          <w:color w:val="auto"/>
        </w:rPr>
      </w:pPr>
      <w:r>
        <w:rPr>
          <w:rFonts w:hint="eastAsia" w:ascii="黑体" w:hAnsi="黑体" w:eastAsia="黑体" w:cs="黑体"/>
          <w:color w:val="auto"/>
        </w:rPr>
        <w:t xml:space="preserve">7.1.1 </w:t>
      </w:r>
      <w:r>
        <w:rPr>
          <w:rFonts w:hint="eastAsia"/>
          <w:color w:val="auto"/>
        </w:rPr>
        <w:t xml:space="preserve"> 供应、采购、验收、仓管应形成闭环管理，并严格执行餐饮原材料验收标准。</w:t>
      </w:r>
    </w:p>
    <w:p>
      <w:pPr>
        <w:pStyle w:val="28"/>
        <w:ind w:firstLine="2" w:firstLineChars="1"/>
        <w:rPr>
          <w:color w:val="auto"/>
        </w:rPr>
      </w:pPr>
      <w:r>
        <w:rPr>
          <w:rFonts w:hint="eastAsia" w:ascii="黑体" w:hAnsi="黑体" w:eastAsia="黑体" w:cs="黑体"/>
          <w:color w:val="auto"/>
        </w:rPr>
        <w:t xml:space="preserve">7.1.2 </w:t>
      </w:r>
      <w:r>
        <w:rPr>
          <w:rFonts w:hint="eastAsia"/>
          <w:color w:val="auto"/>
        </w:rPr>
        <w:t xml:space="preserve"> </w:t>
      </w:r>
      <w:r>
        <w:rPr>
          <w:rFonts w:hint="eastAsia" w:ascii="Times New Roman" w:hAnsi="Times New Roman" w:eastAsia="宋体" w:cs="Times New Roman"/>
          <w:color w:val="auto"/>
          <w:kern w:val="2"/>
          <w:sz w:val="21"/>
          <w:szCs w:val="24"/>
          <w:lang w:val="en-US" w:eastAsia="zh-CN" w:bidi="ar-SA"/>
        </w:rPr>
        <w:t>应进行精准采购、集中管控，建立完备的食材采购台账制度，规范采购流程，根据销售情况对原辅料的需求量进行科学测算。</w:t>
      </w:r>
    </w:p>
    <w:p>
      <w:pPr>
        <w:pStyle w:val="28"/>
        <w:ind w:firstLine="2" w:firstLineChars="1"/>
        <w:rPr>
          <w:color w:val="auto"/>
        </w:rPr>
      </w:pPr>
      <w:r>
        <w:rPr>
          <w:rFonts w:hint="eastAsia" w:ascii="黑体" w:hAnsi="黑体" w:eastAsia="黑体" w:cs="黑体"/>
          <w:color w:val="auto"/>
        </w:rPr>
        <w:t xml:space="preserve">7.1.3 </w:t>
      </w:r>
      <w:r>
        <w:rPr>
          <w:rFonts w:hint="eastAsia"/>
          <w:color w:val="auto"/>
        </w:rPr>
        <w:t xml:space="preserve"> 应对食材品种、规格、数量、产地、出厂(场)检验证明等进行验收审核，并做好索证索票工作，建立合格供应商档案。</w:t>
      </w:r>
    </w:p>
    <w:p>
      <w:pPr>
        <w:tabs>
          <w:tab w:val="left" w:pos="628"/>
        </w:tabs>
        <w:ind w:firstLine="2" w:firstLineChars="1"/>
        <w:jc w:val="left"/>
        <w:rPr>
          <w:color w:val="auto"/>
        </w:rPr>
      </w:pPr>
      <w:r>
        <w:rPr>
          <w:rFonts w:hint="eastAsia" w:ascii="黑体" w:hAnsi="黑体" w:eastAsia="黑体" w:cs="黑体"/>
          <w:color w:val="auto"/>
          <w:kern w:val="0"/>
          <w:szCs w:val="20"/>
        </w:rPr>
        <w:t xml:space="preserve">7.1.4  </w:t>
      </w:r>
      <w:r>
        <w:rPr>
          <w:rFonts w:hint="eastAsia"/>
          <w:color w:val="auto"/>
        </w:rPr>
        <w:t>应根据餐饮服务单位的需求制定采购计划，通过订单生产等方式，引导上游生产单位合理安排生产。</w:t>
      </w:r>
    </w:p>
    <w:p>
      <w:pPr>
        <w:tabs>
          <w:tab w:val="left" w:pos="628"/>
        </w:tabs>
        <w:ind w:firstLine="2" w:firstLineChars="1"/>
        <w:jc w:val="left"/>
        <w:rPr>
          <w:color w:val="auto"/>
        </w:rPr>
      </w:pPr>
      <w:r>
        <w:rPr>
          <w:rFonts w:hint="eastAsia" w:ascii="黑体" w:hAnsi="黑体" w:eastAsia="黑体" w:cs="黑体"/>
          <w:color w:val="auto"/>
          <w:kern w:val="0"/>
          <w:szCs w:val="20"/>
        </w:rPr>
        <w:t xml:space="preserve">7.1.5  </w:t>
      </w:r>
      <w:r>
        <w:rPr>
          <w:rFonts w:hint="eastAsia"/>
          <w:color w:val="auto"/>
        </w:rPr>
        <w:t>应执行进货查验制度,特别是外观查验和温度查验。</w:t>
      </w:r>
    </w:p>
    <w:p>
      <w:pPr>
        <w:tabs>
          <w:tab w:val="left" w:pos="628"/>
        </w:tabs>
        <w:ind w:firstLine="2" w:firstLineChars="1"/>
        <w:jc w:val="left"/>
        <w:rPr>
          <w:color w:val="auto"/>
        </w:rPr>
      </w:pPr>
      <w:r>
        <w:rPr>
          <w:rFonts w:hint="eastAsia" w:ascii="黑体" w:hAnsi="黑体" w:eastAsia="黑体" w:cs="黑体"/>
          <w:color w:val="auto"/>
          <w:kern w:val="0"/>
          <w:szCs w:val="20"/>
        </w:rPr>
        <w:t xml:space="preserve">7.1.6  </w:t>
      </w:r>
      <w:r>
        <w:rPr>
          <w:rFonts w:hint="eastAsia"/>
          <w:color w:val="auto"/>
        </w:rPr>
        <w:t>应按需、适量采购易腐食材。</w:t>
      </w:r>
    </w:p>
    <w:p>
      <w:pPr>
        <w:pStyle w:val="61"/>
        <w:ind w:left="-2"/>
        <w:rPr>
          <w:rFonts w:hAnsi="黑体"/>
          <w:color w:val="auto"/>
        </w:rPr>
      </w:pPr>
      <w:r>
        <w:rPr>
          <w:rFonts w:hint="eastAsia" w:hAnsi="黑体"/>
          <w:color w:val="auto"/>
        </w:rPr>
        <w:t>贮藏</w:t>
      </w:r>
    </w:p>
    <w:p>
      <w:pPr>
        <w:pStyle w:val="28"/>
        <w:ind w:firstLine="2" w:firstLineChars="1"/>
        <w:rPr>
          <w:color w:val="auto"/>
        </w:rPr>
      </w:pPr>
      <w:r>
        <w:rPr>
          <w:rFonts w:hint="eastAsia" w:ascii="黑体" w:hAnsi="黑体" w:eastAsia="黑体" w:cs="黑体"/>
          <w:color w:val="auto"/>
        </w:rPr>
        <w:t xml:space="preserve">7.2.1  </w:t>
      </w:r>
      <w:r>
        <w:rPr>
          <w:rFonts w:hint="eastAsia"/>
          <w:color w:val="auto"/>
        </w:rPr>
        <w:t>餐饮服务单位应建立必备的冷藏、冷冻、分类分区和虫害控制等贮存设施设备</w:t>
      </w:r>
      <w:r>
        <w:rPr>
          <w:rFonts w:hint="eastAsia"/>
          <w:color w:val="auto"/>
          <w:lang w:eastAsia="zh-CN"/>
        </w:rPr>
        <w:t>，</w:t>
      </w:r>
      <w:r>
        <w:rPr>
          <w:rFonts w:hint="eastAsia"/>
          <w:color w:val="auto"/>
          <w:lang w:val="en-US" w:eastAsia="zh-CN"/>
        </w:rPr>
        <w:t>冷藏温度 0℃</w:t>
      </w:r>
      <w:r>
        <w:rPr>
          <w:rFonts w:hint="eastAsia" w:ascii="hakuyocaoshu7000" w:hAnsi="hakuyocaoshu7000" w:eastAsia="hakuyocaoshu7000" w:cs="hakuyocaoshu7000"/>
          <w:color w:val="auto"/>
        </w:rPr>
        <w:t>～</w:t>
      </w:r>
      <w:r>
        <w:rPr>
          <w:rFonts w:hint="eastAsia" w:ascii="hakuyocaoshu7000" w:hAnsi="hakuyocaoshu7000" w:eastAsia="hakuyocaoshu7000" w:cs="hakuyocaoshu7000"/>
          <w:color w:val="auto"/>
          <w:lang w:val="en-US" w:eastAsia="zh-CN"/>
        </w:rPr>
        <w:t>7</w:t>
      </w:r>
      <w:r>
        <w:rPr>
          <w:rFonts w:hint="eastAsia"/>
          <w:color w:val="auto"/>
          <w:lang w:val="en-US" w:eastAsia="zh-CN"/>
        </w:rPr>
        <w:t>℃，冷冻温度 -18℃</w:t>
      </w:r>
      <w:r>
        <w:rPr>
          <w:rFonts w:hint="eastAsia" w:ascii="hakuyocaoshu7000" w:hAnsi="hakuyocaoshu7000" w:eastAsia="hakuyocaoshu7000" w:cs="hakuyocaoshu7000"/>
          <w:color w:val="auto"/>
        </w:rPr>
        <w:t>～</w:t>
      </w:r>
      <w:r>
        <w:rPr>
          <w:rFonts w:hint="eastAsia" w:ascii="hakuyocaoshu7000" w:hAnsi="hakuyocaoshu7000" w:eastAsia="hakuyocaoshu7000" w:cs="hakuyocaoshu7000"/>
          <w:color w:val="auto"/>
          <w:lang w:val="en-US" w:eastAsia="zh-CN"/>
        </w:rPr>
        <w:t>-22</w:t>
      </w:r>
      <w:r>
        <w:rPr>
          <w:rFonts w:hint="eastAsia"/>
          <w:color w:val="auto"/>
          <w:lang w:val="en-US" w:eastAsia="zh-CN"/>
        </w:rPr>
        <w:t>℃</w:t>
      </w:r>
      <w:r>
        <w:rPr>
          <w:rFonts w:hint="eastAsia"/>
          <w:color w:val="auto"/>
        </w:rPr>
        <w:t>。</w:t>
      </w:r>
    </w:p>
    <w:p>
      <w:pPr>
        <w:pStyle w:val="28"/>
        <w:ind w:firstLine="2" w:firstLineChars="1"/>
        <w:rPr>
          <w:color w:val="auto"/>
        </w:rPr>
      </w:pPr>
      <w:r>
        <w:rPr>
          <w:rFonts w:hint="eastAsia" w:ascii="黑体" w:hAnsi="黑体" w:eastAsia="黑体" w:cs="黑体"/>
          <w:color w:val="auto"/>
        </w:rPr>
        <w:t xml:space="preserve">7.2.2  </w:t>
      </w:r>
      <w:r>
        <w:rPr>
          <w:rFonts w:hint="eastAsia"/>
          <w:color w:val="auto"/>
        </w:rPr>
        <w:t>餐饮服务单位应全面落实进货查验制度，库房管理遵循先进、先出、先用的原则,避免因食材损坏或过期不合要求导致的浪费。</w:t>
      </w:r>
    </w:p>
    <w:p>
      <w:pPr>
        <w:pStyle w:val="28"/>
        <w:ind w:firstLine="2" w:firstLineChars="1"/>
        <w:rPr>
          <w:color w:val="auto"/>
        </w:rPr>
      </w:pPr>
      <w:r>
        <w:rPr>
          <w:rFonts w:hint="eastAsia" w:ascii="黑体" w:hAnsi="黑体" w:eastAsia="黑体" w:cs="黑体"/>
          <w:color w:val="auto"/>
        </w:rPr>
        <w:t xml:space="preserve">7.2.3  </w:t>
      </w:r>
      <w:r>
        <w:rPr>
          <w:rFonts w:hint="eastAsia"/>
          <w:color w:val="auto"/>
        </w:rPr>
        <w:t>鼓励使用新技术建立销量预估及库房智能化管控系统，确定库存数量，编制进货数量，优化存储空间和储藏时间，杜绝因长期储藏而引发浪费。</w:t>
      </w:r>
    </w:p>
    <w:p>
      <w:pPr>
        <w:pStyle w:val="28"/>
        <w:ind w:firstLine="2" w:firstLineChars="1"/>
        <w:rPr>
          <w:color w:val="auto"/>
        </w:rPr>
      </w:pPr>
      <w:r>
        <w:rPr>
          <w:rFonts w:hint="eastAsia" w:ascii="黑体" w:hAnsi="黑体" w:eastAsia="黑体" w:cs="黑体"/>
          <w:color w:val="auto"/>
        </w:rPr>
        <w:t xml:space="preserve">7.2.4  </w:t>
      </w:r>
      <w:r>
        <w:rPr>
          <w:rFonts w:hint="eastAsia" w:hAnsi="宋体" w:cs="宋体"/>
          <w:color w:val="auto"/>
          <w:spacing w:val="-6"/>
          <w:szCs w:val="21"/>
        </w:rPr>
        <w:t>定期查看库存，确保食材在保质期内使用。</w:t>
      </w:r>
    </w:p>
    <w:p>
      <w:pPr>
        <w:pStyle w:val="28"/>
        <w:ind w:firstLine="2" w:firstLineChars="1"/>
        <w:rPr>
          <w:rFonts w:hint="eastAsia"/>
          <w:color w:val="auto"/>
        </w:rPr>
      </w:pPr>
      <w:r>
        <w:rPr>
          <w:rFonts w:hint="eastAsia" w:ascii="黑体" w:hAnsi="黑体" w:eastAsia="黑体" w:cs="黑体"/>
          <w:color w:val="auto"/>
        </w:rPr>
        <w:t xml:space="preserve">7.2.5  </w:t>
      </w:r>
      <w:r>
        <w:rPr>
          <w:rFonts w:hint="eastAsia"/>
          <w:color w:val="auto"/>
        </w:rPr>
        <w:t>餐饮服务单位应界定本单位的原料库存最高量和最低量，优化库存量，冰箱最高贮存量宜控制在1.5天</w:t>
      </w:r>
      <w:r>
        <w:rPr>
          <w:rFonts w:hint="eastAsia" w:ascii="hakuyocaoshu7000" w:hAnsi="hakuyocaoshu7000" w:eastAsia="hakuyocaoshu7000" w:cs="hakuyocaoshu7000"/>
          <w:color w:val="auto"/>
        </w:rPr>
        <w:t>～</w:t>
      </w:r>
      <w:r>
        <w:rPr>
          <w:rFonts w:hint="eastAsia"/>
          <w:color w:val="auto"/>
        </w:rPr>
        <w:t>2天。</w:t>
      </w:r>
    </w:p>
    <w:p>
      <w:pPr>
        <w:pStyle w:val="61"/>
        <w:ind w:left="-2"/>
        <w:rPr>
          <w:rFonts w:hAnsi="黑体"/>
          <w:color w:val="auto"/>
        </w:rPr>
      </w:pPr>
      <w:r>
        <w:rPr>
          <w:rFonts w:hint="eastAsia" w:hAnsi="黑体"/>
          <w:color w:val="auto"/>
          <w:lang w:val="en-US" w:eastAsia="zh-CN"/>
        </w:rPr>
        <w:t>运输</w:t>
      </w:r>
    </w:p>
    <w:p>
      <w:pPr>
        <w:pStyle w:val="28"/>
        <w:spacing w:line="240" w:lineRule="auto"/>
        <w:ind w:left="0" w:leftChars="0" w:firstLine="0" w:firstLineChars="0"/>
        <w:rPr>
          <w:rFonts w:hint="eastAsia"/>
          <w:color w:val="auto"/>
        </w:rPr>
      </w:pPr>
      <w:r>
        <w:rPr>
          <w:rFonts w:hint="eastAsia" w:ascii="黑体" w:hAnsi="黑体" w:eastAsia="黑体" w:cs="黑体"/>
          <w:color w:val="auto"/>
        </w:rPr>
        <w:t>7.3.1</w:t>
      </w:r>
      <w:r>
        <w:rPr>
          <w:rFonts w:hint="eastAsia"/>
          <w:color w:val="auto"/>
        </w:rPr>
        <w:t xml:space="preserve"> 应选择专用的食材运输车辆进行运输，食材运输车辆不得与其它用途车辆混用，运输车辆需符合食品安全管理要求。</w:t>
      </w:r>
    </w:p>
    <w:p>
      <w:pPr>
        <w:pStyle w:val="28"/>
        <w:ind w:left="0" w:leftChars="0" w:firstLine="0" w:firstLineChars="0"/>
        <w:rPr>
          <w:rFonts w:hint="eastAsia"/>
        </w:rPr>
      </w:pPr>
      <w:r>
        <w:rPr>
          <w:rFonts w:hint="eastAsia" w:ascii="黑体" w:hAnsi="黑体" w:eastAsia="黑体" w:cs="黑体"/>
          <w:color w:val="auto"/>
        </w:rPr>
        <w:t xml:space="preserve">7.3.2 </w:t>
      </w:r>
      <w:r>
        <w:rPr>
          <w:rFonts w:hint="eastAsia"/>
          <w:color w:val="auto"/>
        </w:rPr>
        <w:t>包装、容器需符合食品安全管理要求，不得选择非食品级的包装和容器，运输过程中应确保食材、食品不能受到不必要的震动、挤压或其</w:t>
      </w:r>
      <w:r>
        <w:rPr>
          <w:rFonts w:hint="eastAsia"/>
        </w:rPr>
        <w:t>他物理影响，以减少食材损伤、损耗。</w:t>
      </w:r>
    </w:p>
    <w:p>
      <w:pPr>
        <w:pStyle w:val="28"/>
        <w:ind w:left="0" w:leftChars="0" w:firstLine="0" w:firstLineChars="0"/>
        <w:rPr>
          <w:rFonts w:hint="eastAsia"/>
        </w:rPr>
      </w:pPr>
      <w:r>
        <w:rPr>
          <w:rFonts w:hint="eastAsia" w:ascii="黑体" w:hAnsi="黑体" w:eastAsia="黑体" w:cs="黑体"/>
          <w:color w:val="auto"/>
        </w:rPr>
        <w:t xml:space="preserve">7.3.3 </w:t>
      </w:r>
      <w:r>
        <w:rPr>
          <w:rFonts w:hint="eastAsia"/>
        </w:rPr>
        <w:t>根据食材、食品的特性和存储要求，在运输过程中应保持相应适当的温度并维持稳定在合适的范围，如使用冷链车、保温箱等，以确保其新鲜和符合食品安全要求。</w:t>
      </w:r>
    </w:p>
    <w:p>
      <w:pPr>
        <w:pStyle w:val="28"/>
        <w:ind w:left="0" w:leftChars="0" w:firstLine="0" w:firstLineChars="0"/>
        <w:rPr>
          <w:rFonts w:hint="eastAsia"/>
        </w:rPr>
      </w:pPr>
      <w:r>
        <w:rPr>
          <w:rFonts w:hint="eastAsia" w:ascii="黑体" w:hAnsi="黑体" w:eastAsia="黑体" w:cs="黑体"/>
          <w:color w:val="auto"/>
        </w:rPr>
        <w:t xml:space="preserve">7.3.4 </w:t>
      </w:r>
      <w:r>
        <w:rPr>
          <w:rFonts w:hint="eastAsia"/>
        </w:rPr>
        <w:t>采用冷冻运输的，车厢温度应不高于-18℃；采用冷藏运输的，车厢温度应不高于7℃；采用恒温运输的，车厢温度应不高于22℃。</w:t>
      </w:r>
    </w:p>
    <w:p>
      <w:pPr>
        <w:pStyle w:val="28"/>
        <w:ind w:left="0" w:leftChars="0" w:firstLine="0" w:firstLineChars="0"/>
        <w:rPr>
          <w:rFonts w:hint="eastAsia"/>
        </w:rPr>
      </w:pPr>
      <w:r>
        <w:rPr>
          <w:rFonts w:hint="eastAsia" w:ascii="黑体" w:hAnsi="黑体" w:eastAsia="黑体" w:cs="黑体"/>
          <w:color w:val="auto"/>
        </w:rPr>
        <w:t xml:space="preserve">7.3.5 </w:t>
      </w:r>
      <w:r>
        <w:rPr>
          <w:rFonts w:hint="eastAsia"/>
        </w:rPr>
        <w:t>在运输过程中必须遵循严格的卫生措施，并采取防腐、防雨、防鼠、防蝇、防尘等措施，以防止污染。</w:t>
      </w:r>
    </w:p>
    <w:p>
      <w:pPr>
        <w:pStyle w:val="28"/>
        <w:ind w:left="0" w:leftChars="0" w:firstLine="0" w:firstLineChars="0"/>
      </w:pPr>
      <w:r>
        <w:rPr>
          <w:rFonts w:hint="eastAsia" w:ascii="黑体" w:hAnsi="黑体" w:eastAsia="黑体" w:cs="黑体"/>
          <w:color w:val="auto"/>
        </w:rPr>
        <w:t>7.3.6</w:t>
      </w:r>
      <w:r>
        <w:rPr>
          <w:rFonts w:hint="eastAsia"/>
        </w:rPr>
        <w:t xml:space="preserve"> 出车前、回场后均应对运输车辆和设备进行清洁和维护，以保持其卫生状况、机械状况良好。</w:t>
      </w:r>
    </w:p>
    <w:p>
      <w:pPr>
        <w:pStyle w:val="111"/>
        <w:ind w:left="0"/>
        <w:rPr>
          <w:rFonts w:hAnsi="黑体"/>
          <w:bCs/>
          <w:color w:val="auto"/>
        </w:rPr>
      </w:pPr>
      <w:r>
        <w:rPr>
          <w:rFonts w:hint="eastAsia" w:hAnsi="黑体"/>
          <w:bCs/>
          <w:color w:val="auto"/>
        </w:rPr>
        <w:t>加工操作</w:t>
      </w:r>
    </w:p>
    <w:p>
      <w:pPr>
        <w:pStyle w:val="28"/>
        <w:ind w:firstLine="0" w:firstLineChars="0"/>
        <w:rPr>
          <w:color w:val="auto"/>
        </w:rPr>
      </w:pPr>
      <w:r>
        <w:rPr>
          <w:rFonts w:hint="eastAsia" w:ascii="黑体" w:hAnsi="黑体" w:eastAsia="黑体" w:cs="黑体"/>
          <w:color w:val="auto"/>
          <w:spacing w:val="-6"/>
          <w:kern w:val="2"/>
          <w:szCs w:val="21"/>
        </w:rPr>
        <w:t>8.1</w:t>
      </w:r>
      <w:r>
        <w:rPr>
          <w:rFonts w:hint="eastAsia" w:hAnsi="宋体" w:cs="宋体"/>
          <w:color w:val="auto"/>
          <w:spacing w:val="-6"/>
          <w:szCs w:val="21"/>
        </w:rPr>
        <w:t xml:space="preserve">  </w:t>
      </w:r>
      <w:r>
        <w:rPr>
          <w:rFonts w:hint="eastAsia" w:ascii="Times New Roman" w:hAnsi="Times New Roman" w:eastAsia="宋体" w:cs="Times New Roman"/>
          <w:color w:val="auto"/>
          <w:kern w:val="2"/>
          <w:sz w:val="21"/>
          <w:szCs w:val="24"/>
          <w:lang w:val="en-US" w:eastAsia="zh-CN" w:bidi="ar-SA"/>
        </w:rPr>
        <w:t>对食材进行科学加工，充分利用食材，提高食材利用率，推广一料多菜、一菜多味，对蔬菜根、茎、叶等边角余料进行充分利用，亦可加工制作为风味小菜、面食混搭风味主食等主副食品种。</w:t>
      </w:r>
    </w:p>
    <w:p>
      <w:pPr>
        <w:pStyle w:val="28"/>
        <w:ind w:firstLine="0" w:firstLineChars="0"/>
        <w:rPr>
          <w:color w:val="auto"/>
        </w:rPr>
      </w:pPr>
      <w:r>
        <w:rPr>
          <w:rFonts w:hint="eastAsia" w:ascii="黑体" w:hAnsi="黑体" w:eastAsia="黑体" w:cs="黑体"/>
          <w:color w:val="auto"/>
          <w:spacing w:val="-6"/>
          <w:kern w:val="2"/>
          <w:szCs w:val="21"/>
        </w:rPr>
        <w:t>8.2</w:t>
      </w:r>
      <w:r>
        <w:rPr>
          <w:rFonts w:hint="eastAsia"/>
          <w:color w:val="auto"/>
        </w:rPr>
        <w:t xml:space="preserve">  </w:t>
      </w:r>
      <w:r>
        <w:rPr>
          <w:rFonts w:hint="eastAsia" w:ascii="Times New Roman" w:hAnsi="Times New Roman" w:eastAsia="宋体" w:cs="Times New Roman"/>
          <w:color w:val="auto"/>
          <w:kern w:val="2"/>
          <w:sz w:val="21"/>
          <w:szCs w:val="24"/>
          <w:lang w:val="en-US" w:eastAsia="zh-CN" w:bidi="ar-SA"/>
        </w:rPr>
        <w:t>依据《中国居民膳食指南（2022）》不断优化菜谱结构和菜肴口味，研发新式菜品，制作家常、适口、营养丰富的饭菜，遏制浪费产生。</w:t>
      </w:r>
    </w:p>
    <w:p>
      <w:pPr>
        <w:pStyle w:val="28"/>
        <w:ind w:firstLine="0" w:firstLineChars="0"/>
        <w:rPr>
          <w:rFonts w:hint="eastAsia" w:ascii="Times New Roman" w:hAnsi="Times New Roman" w:eastAsia="宋体" w:cs="Times New Roman"/>
          <w:color w:val="auto"/>
          <w:kern w:val="2"/>
          <w:sz w:val="21"/>
          <w:szCs w:val="24"/>
          <w:lang w:val="en-US" w:eastAsia="zh-CN" w:bidi="ar-SA"/>
        </w:rPr>
      </w:pPr>
      <w:r>
        <w:rPr>
          <w:rFonts w:hint="eastAsia" w:ascii="黑体" w:hAnsi="黑体" w:eastAsia="黑体" w:cs="黑体"/>
          <w:color w:val="auto"/>
          <w:spacing w:val="-6"/>
          <w:kern w:val="2"/>
          <w:szCs w:val="21"/>
        </w:rPr>
        <w:t>8.3</w:t>
      </w:r>
      <w:r>
        <w:rPr>
          <w:rFonts w:hint="eastAsia"/>
          <w:color w:val="auto"/>
        </w:rPr>
        <w:t xml:space="preserve">  </w:t>
      </w:r>
      <w:r>
        <w:rPr>
          <w:rFonts w:hint="eastAsia" w:ascii="Times New Roman" w:hAnsi="Times New Roman" w:eastAsia="宋体" w:cs="Times New Roman"/>
          <w:color w:val="auto"/>
          <w:kern w:val="2"/>
          <w:sz w:val="21"/>
          <w:szCs w:val="24"/>
          <w:lang w:val="en-US" w:eastAsia="zh-CN" w:bidi="ar-SA"/>
        </w:rPr>
        <w:t>合理加工制作，遵守生产加工环节的安全卫生操作规范及工作流程，避免因加工、烹饪环节操作不当而导致食品安全和浪费问题。</w:t>
      </w:r>
    </w:p>
    <w:p>
      <w:pPr>
        <w:tabs>
          <w:tab w:val="left" w:pos="628"/>
        </w:tabs>
        <w:jc w:val="left"/>
        <w:rPr>
          <w:rFonts w:hint="eastAsia" w:ascii="Times New Roman" w:hAnsi="Times New Roman" w:eastAsia="宋体" w:cs="Times New Roman"/>
          <w:color w:val="auto"/>
          <w:kern w:val="2"/>
          <w:sz w:val="21"/>
          <w:szCs w:val="24"/>
          <w:lang w:val="en-US" w:eastAsia="zh-CN" w:bidi="ar-SA"/>
        </w:rPr>
      </w:pPr>
      <w:r>
        <w:rPr>
          <w:rFonts w:hint="eastAsia" w:ascii="黑体" w:hAnsi="黑体" w:eastAsia="黑体" w:cs="黑体"/>
          <w:color w:val="auto"/>
          <w:spacing w:val="-6"/>
          <w:szCs w:val="21"/>
        </w:rPr>
        <w:t xml:space="preserve">8.4 </w:t>
      </w:r>
      <w:r>
        <w:rPr>
          <w:rFonts w:hint="eastAsia"/>
          <w:color w:val="auto"/>
        </w:rPr>
        <w:t xml:space="preserve"> </w:t>
      </w:r>
      <w:r>
        <w:rPr>
          <w:rFonts w:hint="eastAsia" w:ascii="Times New Roman" w:hAnsi="Times New Roman" w:eastAsia="宋体" w:cs="Times New Roman"/>
          <w:color w:val="auto"/>
          <w:kern w:val="2"/>
          <w:sz w:val="21"/>
          <w:szCs w:val="24"/>
          <w:lang w:val="en-US" w:eastAsia="zh-CN" w:bidi="ar-SA"/>
        </w:rPr>
        <w:t>宜使用冷藏解冻方式解冻食品。冷水解冻时，不宜采用水龙头冲洗方式，必须冲洗时，应注意控制出水量。</w:t>
      </w:r>
    </w:p>
    <w:p>
      <w:pPr>
        <w:tabs>
          <w:tab w:val="left" w:pos="628"/>
        </w:tabs>
        <w:jc w:val="left"/>
        <w:rPr>
          <w:rFonts w:hint="eastAsia" w:ascii="Times New Roman" w:hAnsi="Times New Roman" w:eastAsia="宋体" w:cs="Times New Roman"/>
          <w:color w:val="auto"/>
          <w:kern w:val="2"/>
          <w:sz w:val="21"/>
          <w:szCs w:val="24"/>
          <w:lang w:val="en-US" w:eastAsia="zh-CN" w:bidi="ar-SA"/>
        </w:rPr>
      </w:pPr>
      <w:r>
        <w:rPr>
          <w:rFonts w:hint="eastAsia" w:ascii="黑体" w:hAnsi="黑体" w:eastAsia="黑体" w:cs="黑体"/>
          <w:color w:val="auto"/>
          <w:spacing w:val="-6"/>
          <w:szCs w:val="21"/>
        </w:rPr>
        <w:t>8.5</w:t>
      </w:r>
      <w:r>
        <w:rPr>
          <w:rFonts w:hint="eastAsia"/>
          <w:color w:val="auto"/>
        </w:rPr>
        <w:t xml:space="preserve">  </w:t>
      </w:r>
      <w:r>
        <w:rPr>
          <w:rFonts w:hint="eastAsia" w:ascii="Times New Roman" w:hAnsi="Times New Roman" w:eastAsia="宋体" w:cs="Times New Roman"/>
          <w:color w:val="auto"/>
          <w:kern w:val="2"/>
          <w:sz w:val="21"/>
          <w:szCs w:val="24"/>
          <w:lang w:val="en-US" w:eastAsia="zh-CN" w:bidi="ar-SA"/>
        </w:rPr>
        <w:t>宜通过预估销量的方式，合理安排预处理食材的数量和频次（如解冻食材），遵循少量多次的原则。</w:t>
      </w:r>
    </w:p>
    <w:p>
      <w:pPr>
        <w:tabs>
          <w:tab w:val="left" w:pos="628"/>
        </w:tabs>
        <w:jc w:val="left"/>
        <w:rPr>
          <w:color w:val="auto"/>
        </w:rPr>
      </w:pPr>
      <w:r>
        <w:rPr>
          <w:rFonts w:hint="eastAsia" w:ascii="黑体" w:hAnsi="黑体" w:eastAsia="黑体" w:cs="黑体"/>
          <w:color w:val="auto"/>
          <w:spacing w:val="-6"/>
          <w:szCs w:val="21"/>
        </w:rPr>
        <w:t>8.6</w:t>
      </w:r>
      <w:r>
        <w:rPr>
          <w:rFonts w:hint="eastAsia"/>
          <w:color w:val="auto"/>
        </w:rPr>
        <w:t xml:space="preserve">  宜在加工及烹调过程中，采取少油少盐少糖的方式，提高食品健康程度同时减少浪费。</w:t>
      </w:r>
    </w:p>
    <w:p>
      <w:pPr>
        <w:pStyle w:val="111"/>
        <w:ind w:left="0"/>
        <w:rPr>
          <w:rFonts w:hAnsi="黑体"/>
          <w:bCs/>
          <w:color w:val="auto"/>
        </w:rPr>
      </w:pPr>
      <w:r>
        <w:rPr>
          <w:rFonts w:hint="eastAsia" w:hAnsi="黑体"/>
          <w:bCs/>
          <w:color w:val="auto"/>
        </w:rPr>
        <w:t>服务要求</w:t>
      </w:r>
    </w:p>
    <w:p>
      <w:pPr>
        <w:pStyle w:val="28"/>
        <w:spacing w:before="156" w:beforeLines="50" w:after="156" w:afterLines="50"/>
        <w:ind w:firstLine="2" w:firstLineChars="1"/>
        <w:rPr>
          <w:rFonts w:ascii="黑体" w:hAnsi="黑体" w:eastAsia="黑体" w:cs="黑体"/>
          <w:color w:val="auto"/>
        </w:rPr>
      </w:pPr>
      <w:r>
        <w:rPr>
          <w:rFonts w:ascii="黑体" w:hAnsi="黑体" w:eastAsia="黑体" w:cs="黑体"/>
          <w:color w:val="auto"/>
        </w:rPr>
        <w:t xml:space="preserve">9.1 </w:t>
      </w:r>
      <w:r>
        <w:rPr>
          <w:rFonts w:hint="eastAsia" w:ascii="黑体" w:hAnsi="黑体" w:eastAsia="黑体" w:cs="黑体"/>
          <w:color w:val="auto"/>
        </w:rPr>
        <w:t>点餐</w:t>
      </w:r>
    </w:p>
    <w:p>
      <w:pPr>
        <w:pStyle w:val="28"/>
        <w:ind w:firstLine="0" w:firstLineChars="0"/>
        <w:rPr>
          <w:rFonts w:hAnsi="宋体" w:cs="宋体"/>
          <w:color w:val="auto"/>
          <w:spacing w:val="-6"/>
          <w:szCs w:val="21"/>
        </w:rPr>
      </w:pPr>
      <w:r>
        <w:rPr>
          <w:rFonts w:hint="eastAsia" w:ascii="黑体" w:hAnsi="黑体" w:eastAsia="黑体" w:cs="黑体"/>
          <w:bCs/>
          <w:color w:val="auto"/>
        </w:rPr>
        <w:t xml:space="preserve">9.1.1 </w:t>
      </w:r>
      <w:r>
        <w:rPr>
          <w:rFonts w:hint="eastAsia" w:hAnsi="宋体" w:cs="宋体"/>
          <w:color w:val="auto"/>
          <w:spacing w:val="-6"/>
          <w:szCs w:val="21"/>
        </w:rPr>
        <w:t xml:space="preserve"> </w:t>
      </w:r>
      <w:r>
        <w:rPr>
          <w:rFonts w:hint="eastAsia" w:ascii="Times New Roman" w:hAnsi="Times New Roman" w:eastAsia="宋体" w:cs="Times New Roman"/>
          <w:color w:val="auto"/>
          <w:kern w:val="2"/>
          <w:sz w:val="21"/>
          <w:szCs w:val="24"/>
          <w:lang w:val="en-US" w:eastAsia="zh-CN" w:bidi="ar-SA"/>
        </w:rPr>
        <w:t>餐饮服务单位的预订员、服务员在接待宾客订餐过程中，应详细介绍本单位菜品特色和菜品规格。了解就餐人数和需求，引导消费者适量、适度点菜。</w:t>
      </w:r>
    </w:p>
    <w:p>
      <w:pPr>
        <w:pStyle w:val="28"/>
        <w:ind w:firstLine="0" w:firstLineChars="0"/>
        <w:rPr>
          <w:rFonts w:hint="eastAsia" w:ascii="Times New Roman" w:hAnsi="Times New Roman" w:eastAsia="宋体" w:cs="Times New Roman"/>
          <w:color w:val="auto"/>
          <w:kern w:val="2"/>
          <w:sz w:val="21"/>
          <w:szCs w:val="24"/>
          <w:lang w:val="en-US" w:eastAsia="zh-CN" w:bidi="ar-SA"/>
        </w:rPr>
      </w:pPr>
      <w:r>
        <w:rPr>
          <w:rFonts w:hint="eastAsia" w:ascii="黑体" w:hAnsi="黑体" w:eastAsia="黑体" w:cs="黑体"/>
          <w:bCs/>
          <w:color w:val="auto"/>
        </w:rPr>
        <w:t xml:space="preserve">9.1.2  </w:t>
      </w:r>
      <w:r>
        <w:rPr>
          <w:rFonts w:hint="eastAsia" w:ascii="Times New Roman" w:hAnsi="Times New Roman" w:eastAsia="宋体" w:cs="Times New Roman"/>
          <w:color w:val="auto"/>
          <w:kern w:val="2"/>
          <w:sz w:val="21"/>
          <w:szCs w:val="24"/>
          <w:lang w:val="en-US" w:eastAsia="zh-CN" w:bidi="ar-SA"/>
        </w:rPr>
        <w:t>设置明档点菜的餐饮服务单位，应按照所展示原菜品种、原份量、原餐具出品，并于菜牌上注明菜品分量及适宜食用人数，使消费者可以根据自身需求进行点餐，不得诱导、误导消费者超量点餐。</w:t>
      </w:r>
    </w:p>
    <w:p>
      <w:pPr>
        <w:pStyle w:val="28"/>
        <w:ind w:firstLine="0" w:firstLineChars="0"/>
        <w:rPr>
          <w:rFonts w:hint="eastAsia" w:ascii="Times New Roman" w:hAnsi="Times New Roman" w:eastAsia="宋体" w:cs="Times New Roman"/>
          <w:color w:val="auto"/>
          <w:kern w:val="2"/>
          <w:sz w:val="21"/>
          <w:szCs w:val="24"/>
          <w:lang w:val="en-US" w:eastAsia="zh-CN" w:bidi="ar-SA"/>
        </w:rPr>
      </w:pPr>
      <w:r>
        <w:rPr>
          <w:rFonts w:hint="eastAsia" w:ascii="黑体" w:hAnsi="黑体" w:eastAsia="黑体" w:cs="黑体"/>
          <w:bCs/>
          <w:color w:val="auto"/>
        </w:rPr>
        <w:t xml:space="preserve">9.1.3  </w:t>
      </w:r>
      <w:r>
        <w:rPr>
          <w:rFonts w:hint="eastAsia" w:ascii="Times New Roman" w:hAnsi="Times New Roman" w:eastAsia="宋体" w:cs="Times New Roman"/>
          <w:color w:val="auto"/>
          <w:kern w:val="2"/>
          <w:sz w:val="21"/>
          <w:szCs w:val="24"/>
          <w:lang w:val="en-US" w:eastAsia="zh-CN" w:bidi="ar-SA"/>
        </w:rPr>
        <w:t>餐饮服务单位应倡导由消费者自行点单。如消费者要求餐饮服务单位安排菜单，则厨师长或接待员在菜单设计上，应根据就餐人数和或 N-1反对浪费的原则与宾客商定合理菜品数量，合理配置菜品、主食。具备条件的餐饮服务单位，可设置点菜师岗位，提高服务质量。</w:t>
      </w:r>
    </w:p>
    <w:p>
      <w:pPr>
        <w:pStyle w:val="28"/>
        <w:ind w:firstLine="0" w:firstLineChars="0"/>
        <w:rPr>
          <w:rFonts w:hint="eastAsia" w:ascii="Times New Roman" w:hAnsi="Times New Roman" w:eastAsia="宋体" w:cs="Times New Roman"/>
          <w:color w:val="auto"/>
          <w:kern w:val="2"/>
          <w:sz w:val="21"/>
          <w:szCs w:val="24"/>
          <w:lang w:val="en-US" w:eastAsia="zh-CN" w:bidi="ar-SA"/>
        </w:rPr>
      </w:pPr>
      <w:r>
        <w:rPr>
          <w:rFonts w:hint="eastAsia" w:ascii="黑体" w:hAnsi="黑体" w:eastAsia="黑体" w:cs="黑体"/>
          <w:bCs/>
          <w:color w:val="auto"/>
        </w:rPr>
        <w:t xml:space="preserve">9.1.4 </w:t>
      </w:r>
      <w:r>
        <w:rPr>
          <w:rFonts w:hint="eastAsia" w:hAnsi="宋体" w:cs="宋体"/>
          <w:color w:val="auto"/>
          <w:spacing w:val="-6"/>
          <w:szCs w:val="21"/>
        </w:rPr>
        <w:t xml:space="preserve"> </w:t>
      </w:r>
      <w:r>
        <w:rPr>
          <w:rFonts w:hint="eastAsia" w:ascii="Times New Roman" w:hAnsi="Times New Roman" w:eastAsia="宋体" w:cs="Times New Roman"/>
          <w:color w:val="auto"/>
          <w:kern w:val="2"/>
          <w:sz w:val="21"/>
          <w:szCs w:val="24"/>
          <w:lang w:val="en-US" w:eastAsia="zh-CN" w:bidi="ar-SA"/>
        </w:rPr>
        <w:t>餐饮服务单位应提示消费者理性消费，引导消费者形成从追求菜品数量到讲究菜品档次、吃饱吃好理念的转变。</w:t>
      </w:r>
    </w:p>
    <w:p>
      <w:pPr>
        <w:pStyle w:val="28"/>
        <w:ind w:firstLine="0" w:firstLineChars="0"/>
        <w:rPr>
          <w:rFonts w:hint="eastAsia" w:ascii="Times New Roman" w:hAnsi="Times New Roman" w:eastAsia="宋体" w:cs="Times New Roman"/>
          <w:color w:val="auto"/>
          <w:kern w:val="2"/>
          <w:sz w:val="21"/>
          <w:szCs w:val="24"/>
          <w:lang w:val="en-US" w:eastAsia="zh-CN" w:bidi="ar-SA"/>
        </w:rPr>
      </w:pPr>
      <w:r>
        <w:rPr>
          <w:rFonts w:hint="eastAsia" w:ascii="黑体" w:hAnsi="黑体" w:eastAsia="黑体" w:cs="黑体"/>
          <w:bCs/>
          <w:color w:val="auto"/>
        </w:rPr>
        <w:t xml:space="preserve">9.1.5 </w:t>
      </w:r>
      <w:r>
        <w:rPr>
          <w:rFonts w:hint="eastAsia"/>
          <w:color w:val="auto"/>
        </w:rPr>
        <w:t xml:space="preserve"> </w:t>
      </w:r>
      <w:r>
        <w:rPr>
          <w:rFonts w:hint="eastAsia" w:ascii="Times New Roman" w:hAnsi="Times New Roman" w:eastAsia="宋体" w:cs="Times New Roman"/>
          <w:color w:val="auto"/>
          <w:kern w:val="2"/>
          <w:sz w:val="21"/>
          <w:szCs w:val="24"/>
          <w:lang w:val="en-US" w:eastAsia="zh-CN" w:bidi="ar-SA"/>
        </w:rPr>
        <w:t>大型家宴订餐 10 桌以上，餐饮服务单位应与宾客签订用餐协议，以契约形式约定反对浪费条款和违约责任。有条件的单位宜推行试菜制。</w:t>
      </w:r>
    </w:p>
    <w:p>
      <w:pPr>
        <w:pStyle w:val="28"/>
        <w:ind w:firstLine="0" w:firstLineChars="0"/>
        <w:rPr>
          <w:color w:val="auto"/>
        </w:rPr>
      </w:pPr>
      <w:r>
        <w:rPr>
          <w:rFonts w:hint="eastAsia" w:ascii="黑体" w:hAnsi="黑体" w:eastAsia="黑体" w:cs="黑体"/>
          <w:bCs/>
          <w:color w:val="auto"/>
        </w:rPr>
        <w:t>9.1.6</w:t>
      </w:r>
      <w:r>
        <w:rPr>
          <w:rFonts w:hint="eastAsia" w:ascii="黑体" w:hAnsi="黑体" w:eastAsia="黑体" w:cs="黑体"/>
          <w:bCs/>
          <w:color w:val="auto"/>
          <w:lang w:val="en-US" w:eastAsia="zh-CN"/>
        </w:rPr>
        <w:t xml:space="preserve"> </w:t>
      </w:r>
      <w:r>
        <w:rPr>
          <w:rFonts w:hint="eastAsia" w:ascii="黑体" w:hAnsi="黑体" w:eastAsia="黑体" w:cs="黑体"/>
          <w:bCs/>
          <w:color w:val="auto"/>
        </w:rPr>
        <w:t xml:space="preserve"> </w:t>
      </w:r>
      <w:r>
        <w:rPr>
          <w:rFonts w:hint="eastAsia" w:ascii="Times New Roman" w:hAnsi="Times New Roman" w:eastAsia="宋体" w:cs="Times New Roman"/>
          <w:color w:val="auto"/>
          <w:kern w:val="2"/>
          <w:sz w:val="21"/>
          <w:szCs w:val="24"/>
          <w:lang w:val="en-US" w:eastAsia="zh-CN" w:bidi="ar-SA"/>
        </w:rPr>
        <w:t>餐饮服务单位的外卖平台应依据 GB/T 40041 《外卖餐品信息描述规范》的要求，通过平台大数据和智能算法，精准匹配消费者需求，引导消费者精准点餐，主动提示消费者适量点餐，减少浪费，主餐应分规格供消费者选择。</w:t>
      </w:r>
    </w:p>
    <w:p>
      <w:pPr>
        <w:pStyle w:val="28"/>
        <w:ind w:firstLine="0" w:firstLineChars="0"/>
        <w:rPr>
          <w:color w:val="auto"/>
        </w:rPr>
      </w:pPr>
      <w:r>
        <w:rPr>
          <w:rFonts w:hint="eastAsia" w:ascii="黑体" w:hAnsi="黑体" w:eastAsia="黑体" w:cs="黑体"/>
          <w:bCs/>
          <w:color w:val="auto"/>
        </w:rPr>
        <w:t>9.1.7</w:t>
      </w:r>
      <w:r>
        <w:rPr>
          <w:rFonts w:hint="eastAsia" w:ascii="黑体" w:hAnsi="黑体" w:eastAsia="黑体" w:cs="黑体"/>
          <w:bCs/>
          <w:color w:val="auto"/>
          <w:lang w:val="en-US" w:eastAsia="zh-CN"/>
        </w:rPr>
        <w:t xml:space="preserve"> </w:t>
      </w:r>
      <w:r>
        <w:rPr>
          <w:rFonts w:hint="eastAsia" w:ascii="黑体" w:hAnsi="黑体" w:eastAsia="黑体" w:cs="黑体"/>
          <w:bCs/>
          <w:color w:val="auto"/>
        </w:rPr>
        <w:t xml:space="preserve"> </w:t>
      </w:r>
      <w:r>
        <w:rPr>
          <w:rFonts w:hint="eastAsia" w:ascii="Times New Roman" w:hAnsi="Times New Roman" w:eastAsia="宋体" w:cs="Times New Roman"/>
          <w:color w:val="auto"/>
          <w:kern w:val="2"/>
          <w:sz w:val="21"/>
          <w:szCs w:val="24"/>
          <w:lang w:val="en-US" w:eastAsia="zh-CN" w:bidi="ar-SA"/>
        </w:rPr>
        <w:t>对团餐接待，餐饮服务单位应针对具体团队人群制作合适的菜点，满足团队群体安全、健康合理的餐饮需求。同时在显著位置设置合理取餐、禁止浪费的提示。</w:t>
      </w:r>
    </w:p>
    <w:p>
      <w:pPr>
        <w:pStyle w:val="28"/>
        <w:spacing w:before="156" w:beforeLines="50" w:after="156" w:afterLines="50"/>
        <w:ind w:firstLine="2" w:firstLineChars="1"/>
        <w:rPr>
          <w:rFonts w:ascii="黑体" w:hAnsi="黑体" w:eastAsia="黑体" w:cs="黑体"/>
          <w:color w:val="auto"/>
        </w:rPr>
      </w:pPr>
      <w:r>
        <w:rPr>
          <w:rFonts w:hint="eastAsia" w:ascii="黑体" w:hAnsi="黑体" w:eastAsia="黑体" w:cs="黑体"/>
          <w:color w:val="auto"/>
        </w:rPr>
        <w:t>9.2 用餐</w:t>
      </w:r>
    </w:p>
    <w:p>
      <w:pPr>
        <w:pStyle w:val="28"/>
        <w:ind w:firstLine="2" w:firstLineChars="1"/>
        <w:rPr>
          <w:rFonts w:hint="eastAsia" w:ascii="Times New Roman" w:hAnsi="Times New Roman" w:eastAsia="宋体" w:cs="Times New Roman"/>
          <w:color w:val="auto"/>
          <w:kern w:val="2"/>
          <w:sz w:val="21"/>
          <w:szCs w:val="24"/>
          <w:lang w:val="en-US" w:eastAsia="zh-CN" w:bidi="ar-SA"/>
        </w:rPr>
      </w:pPr>
      <w:r>
        <w:rPr>
          <w:rFonts w:hint="eastAsia" w:ascii="黑体" w:hAnsi="黑体" w:eastAsia="黑体" w:cs="黑体"/>
          <w:color w:val="auto"/>
        </w:rPr>
        <w:t xml:space="preserve">9.2.1 </w:t>
      </w:r>
      <w:r>
        <w:rPr>
          <w:rFonts w:hint="eastAsia" w:ascii="黑体" w:hAnsi="黑体" w:eastAsia="黑体" w:cs="黑体"/>
          <w:color w:val="auto"/>
          <w:lang w:val="en-US" w:eastAsia="zh-CN"/>
        </w:rPr>
        <w:t xml:space="preserve"> </w:t>
      </w:r>
      <w:r>
        <w:rPr>
          <w:rFonts w:hint="eastAsia" w:ascii="Times New Roman" w:hAnsi="Times New Roman" w:eastAsia="宋体" w:cs="Times New Roman"/>
          <w:color w:val="auto"/>
          <w:kern w:val="2"/>
          <w:sz w:val="21"/>
          <w:szCs w:val="24"/>
          <w:lang w:val="en-US" w:eastAsia="zh-CN" w:bidi="ar-SA"/>
        </w:rPr>
        <w:t>餐饮服务单位应加强服务技能培训，针对性地提供适应的服务，规范提供分餐服务。</w:t>
      </w:r>
    </w:p>
    <w:p>
      <w:pPr>
        <w:pStyle w:val="28"/>
        <w:ind w:firstLine="2" w:firstLineChars="1"/>
        <w:rPr>
          <w:color w:val="auto"/>
        </w:rPr>
      </w:pPr>
      <w:r>
        <w:rPr>
          <w:rFonts w:hint="eastAsia" w:ascii="黑体" w:hAnsi="黑体" w:eastAsia="黑体" w:cs="黑体"/>
          <w:color w:val="auto"/>
        </w:rPr>
        <w:t xml:space="preserve">9.2.2 </w:t>
      </w:r>
      <w:r>
        <w:rPr>
          <w:rFonts w:hint="eastAsia" w:ascii="黑体" w:hAnsi="黑体" w:eastAsia="黑体" w:cs="黑体"/>
          <w:color w:val="auto"/>
          <w:lang w:val="en-US" w:eastAsia="zh-CN"/>
        </w:rPr>
        <w:t xml:space="preserve"> </w:t>
      </w:r>
      <w:r>
        <w:rPr>
          <w:rFonts w:hint="eastAsia" w:ascii="Times New Roman" w:hAnsi="Times New Roman" w:eastAsia="宋体" w:cs="Times New Roman"/>
          <w:color w:val="auto"/>
          <w:kern w:val="2"/>
          <w:sz w:val="21"/>
          <w:szCs w:val="24"/>
          <w:lang w:val="en-US" w:eastAsia="zh-CN" w:bidi="ar-SA"/>
        </w:rPr>
        <w:t>餐饮服务单位应提供绿色环保可循环利用的餐具。应配置公勺公筷，并提醒宾客正确使用公勺公筷和加强餐中服务。</w:t>
      </w:r>
    </w:p>
    <w:p>
      <w:pPr>
        <w:pStyle w:val="28"/>
        <w:ind w:firstLine="2" w:firstLineChars="1"/>
        <w:rPr>
          <w:rFonts w:hAnsi="宋体" w:cs="宋体"/>
          <w:color w:val="auto"/>
          <w:spacing w:val="-6"/>
          <w:szCs w:val="21"/>
        </w:rPr>
      </w:pPr>
      <w:r>
        <w:rPr>
          <w:rFonts w:hint="eastAsia" w:ascii="黑体" w:hAnsi="黑体" w:eastAsia="黑体" w:cs="黑体"/>
          <w:color w:val="auto"/>
        </w:rPr>
        <w:t xml:space="preserve">9.2.3  </w:t>
      </w:r>
      <w:r>
        <w:rPr>
          <w:rFonts w:hint="eastAsia" w:ascii="Times New Roman" w:hAnsi="Times New Roman" w:eastAsia="宋体" w:cs="Times New Roman"/>
          <w:color w:val="auto"/>
          <w:kern w:val="2"/>
          <w:sz w:val="21"/>
          <w:szCs w:val="24"/>
          <w:lang w:val="en-US" w:eastAsia="zh-CN" w:bidi="ar-SA"/>
        </w:rPr>
        <w:t>宜提示消费者按需取用餐纸，节约用纸。</w:t>
      </w:r>
    </w:p>
    <w:p>
      <w:pPr>
        <w:pStyle w:val="28"/>
        <w:ind w:firstLine="2" w:firstLineChars="1"/>
        <w:rPr>
          <w:rFonts w:hint="eastAsia" w:ascii="Times New Roman" w:hAnsi="Times New Roman" w:eastAsia="宋体" w:cs="Times New Roman"/>
          <w:color w:val="auto"/>
          <w:kern w:val="2"/>
          <w:sz w:val="21"/>
          <w:szCs w:val="24"/>
          <w:lang w:val="en-US" w:eastAsia="zh-CN" w:bidi="ar-SA"/>
        </w:rPr>
      </w:pPr>
      <w:r>
        <w:rPr>
          <w:rFonts w:hint="eastAsia" w:ascii="黑体" w:hAnsi="黑体" w:eastAsia="黑体" w:cs="黑体"/>
          <w:color w:val="auto"/>
        </w:rPr>
        <w:t xml:space="preserve">9.2.4  </w:t>
      </w:r>
      <w:r>
        <w:rPr>
          <w:rFonts w:hint="eastAsia" w:ascii="Times New Roman" w:hAnsi="Times New Roman" w:eastAsia="宋体" w:cs="Times New Roman"/>
          <w:color w:val="auto"/>
          <w:kern w:val="2"/>
          <w:sz w:val="21"/>
          <w:szCs w:val="24"/>
          <w:lang w:val="en-US" w:eastAsia="zh-CN" w:bidi="ar-SA"/>
        </w:rPr>
        <w:t>提供自助餐服务时，应主动提醒消费者勤拿少取，宜在显著位置设置提示或主动告知消费者自助餐浪费的处理规定和措施。</w:t>
      </w:r>
    </w:p>
    <w:p>
      <w:pPr>
        <w:pStyle w:val="28"/>
        <w:ind w:firstLine="2" w:firstLineChars="1"/>
        <w:rPr>
          <w:rFonts w:hint="eastAsia" w:ascii="Times New Roman" w:hAnsi="Times New Roman" w:eastAsia="宋体" w:cs="Times New Roman"/>
          <w:color w:val="auto"/>
          <w:kern w:val="2"/>
          <w:sz w:val="21"/>
          <w:szCs w:val="24"/>
          <w:lang w:val="en-US" w:eastAsia="zh-CN" w:bidi="ar-SA"/>
        </w:rPr>
      </w:pPr>
      <w:r>
        <w:rPr>
          <w:rFonts w:hint="eastAsia" w:ascii="黑体" w:hAnsi="黑体" w:eastAsia="黑体" w:cs="黑体"/>
          <w:color w:val="auto"/>
        </w:rPr>
        <w:t xml:space="preserve">9.2.5  </w:t>
      </w:r>
      <w:r>
        <w:rPr>
          <w:rFonts w:hint="eastAsia" w:ascii="Times New Roman" w:hAnsi="Times New Roman" w:eastAsia="宋体" w:cs="Times New Roman"/>
          <w:color w:val="auto"/>
          <w:kern w:val="2"/>
          <w:sz w:val="21"/>
          <w:szCs w:val="24"/>
          <w:lang w:val="en-US" w:eastAsia="zh-CN" w:bidi="ar-SA"/>
        </w:rPr>
        <w:t>宜在大型宴会时，合理控制上菜频率，及时撤下空盘，提高消费者食用舒适度同时减少浪费。</w:t>
      </w:r>
    </w:p>
    <w:p>
      <w:pPr>
        <w:pStyle w:val="28"/>
        <w:ind w:firstLine="2" w:firstLineChars="1"/>
        <w:rPr>
          <w:rFonts w:hAnsi="宋体" w:cs="宋体"/>
          <w:color w:val="auto"/>
          <w:spacing w:val="-6"/>
          <w:szCs w:val="21"/>
        </w:rPr>
      </w:pPr>
      <w:r>
        <w:rPr>
          <w:rFonts w:ascii="黑体" w:hAnsi="黑体" w:eastAsia="黑体" w:cs="黑体"/>
          <w:color w:val="auto"/>
        </w:rPr>
        <w:t xml:space="preserve">9.2.6  </w:t>
      </w:r>
      <w:r>
        <w:rPr>
          <w:rFonts w:hint="eastAsia" w:ascii="Times New Roman" w:hAnsi="Times New Roman" w:eastAsia="宋体" w:cs="Times New Roman"/>
          <w:color w:val="auto"/>
          <w:kern w:val="2"/>
          <w:sz w:val="21"/>
          <w:szCs w:val="24"/>
          <w:lang w:val="en-US" w:eastAsia="zh-CN" w:bidi="ar-SA"/>
        </w:rPr>
        <w:t>为顾客提供光盘奖励活动，定期或不定期在符合条件的顾客中评选光盘先进顾客，为顾客提供餐券、折扣或特色菜等奖励，既能增加回头客又能减少食物浪费</w:t>
      </w:r>
      <w:r>
        <w:rPr>
          <w:rFonts w:hint="eastAsia" w:hAnsi="宋体" w:cs="宋体"/>
          <w:color w:val="auto"/>
          <w:spacing w:val="-6"/>
          <w:szCs w:val="21"/>
        </w:rPr>
        <w:t>。</w:t>
      </w:r>
    </w:p>
    <w:p>
      <w:pPr>
        <w:pStyle w:val="28"/>
        <w:ind w:firstLine="2" w:firstLineChars="1"/>
        <w:rPr>
          <w:rFonts w:hAnsi="宋体" w:cs="宋体"/>
          <w:color w:val="auto"/>
          <w:spacing w:val="-6"/>
          <w:szCs w:val="21"/>
        </w:rPr>
      </w:pPr>
      <w:r>
        <w:rPr>
          <w:rFonts w:hint="eastAsia" w:ascii="黑体" w:hAnsi="黑体" w:eastAsia="黑体" w:cs="黑体"/>
          <w:color w:val="auto"/>
        </w:rPr>
        <w:t xml:space="preserve">9.2.7  </w:t>
      </w:r>
      <w:r>
        <w:rPr>
          <w:rFonts w:hint="eastAsia" w:hAnsi="宋体" w:cs="宋体"/>
          <w:color w:val="auto"/>
          <w:spacing w:val="-6"/>
          <w:szCs w:val="21"/>
        </w:rPr>
        <w:t>宜提供分餐服务，可按照 GB/T 39002 《</w:t>
      </w:r>
      <w:r>
        <w:rPr>
          <w:rFonts w:hint="eastAsia" w:hAnsi="宋体" w:cs="宋体"/>
          <w:color w:val="auto"/>
          <w:szCs w:val="22"/>
        </w:rPr>
        <w:t>餐饮分餐制服务指南</w:t>
      </w:r>
      <w:r>
        <w:rPr>
          <w:rFonts w:hint="eastAsia" w:hAnsi="宋体" w:cs="宋体"/>
          <w:color w:val="auto"/>
          <w:spacing w:val="-6"/>
          <w:szCs w:val="21"/>
        </w:rPr>
        <w:t>》提供的方式进行。</w:t>
      </w:r>
    </w:p>
    <w:p>
      <w:pPr>
        <w:pStyle w:val="28"/>
        <w:spacing w:before="156" w:beforeLines="50" w:after="156" w:afterLines="50"/>
        <w:ind w:firstLine="2" w:firstLineChars="1"/>
        <w:rPr>
          <w:rFonts w:ascii="黑体" w:hAnsi="黑体" w:eastAsia="黑体" w:cs="黑体"/>
          <w:color w:val="auto"/>
        </w:rPr>
      </w:pPr>
      <w:r>
        <w:rPr>
          <w:rFonts w:hint="eastAsia" w:ascii="黑体" w:hAnsi="黑体" w:eastAsia="黑体" w:cs="黑体"/>
          <w:color w:val="auto"/>
        </w:rPr>
        <w:t>9.3 打包</w:t>
      </w:r>
    </w:p>
    <w:p>
      <w:pPr>
        <w:pStyle w:val="28"/>
        <w:ind w:firstLine="0" w:firstLineChars="0"/>
        <w:rPr>
          <w:rFonts w:ascii="黑体" w:hAnsi="黑体" w:eastAsia="黑体" w:cs="黑体"/>
          <w:bCs/>
          <w:color w:val="auto"/>
        </w:rPr>
      </w:pPr>
      <w:r>
        <w:rPr>
          <w:rFonts w:hint="eastAsia" w:ascii="黑体" w:hAnsi="黑体" w:eastAsia="黑体" w:cs="黑体"/>
          <w:bCs/>
          <w:color w:val="auto"/>
        </w:rPr>
        <w:t xml:space="preserve">9.3.1  </w:t>
      </w:r>
      <w:r>
        <w:rPr>
          <w:rFonts w:hint="eastAsia" w:hAnsi="黑体"/>
          <w:bCs/>
          <w:color w:val="auto"/>
        </w:rPr>
        <w:t>餐饮服务单位提供打包服务应遵守</w:t>
      </w:r>
      <w:r>
        <w:rPr>
          <w:rFonts w:hint="eastAsia" w:hAnsi="宋体" w:cs="宋体"/>
          <w:color w:val="auto"/>
        </w:rPr>
        <w:t>SB/T 11070的规定。</w:t>
      </w:r>
    </w:p>
    <w:p>
      <w:pPr>
        <w:pStyle w:val="28"/>
        <w:ind w:firstLine="0" w:firstLineChars="0"/>
        <w:rPr>
          <w:rFonts w:hAnsi="宋体" w:cs="宋体"/>
          <w:color w:val="auto"/>
          <w:spacing w:val="-6"/>
          <w:szCs w:val="21"/>
        </w:rPr>
      </w:pPr>
      <w:r>
        <w:rPr>
          <w:rFonts w:hint="eastAsia" w:ascii="黑体" w:hAnsi="黑体" w:eastAsia="黑体" w:cs="黑体"/>
          <w:color w:val="auto"/>
          <w:spacing w:val="-6"/>
          <w:szCs w:val="21"/>
        </w:rPr>
        <w:t xml:space="preserve">9.3.2  </w:t>
      </w:r>
      <w:r>
        <w:rPr>
          <w:rFonts w:hint="eastAsia" w:hAnsi="黑体"/>
          <w:bCs/>
          <w:color w:val="auto"/>
        </w:rPr>
        <w:t>餐饮服务单位应配备绿色环保的打包餐（饮）具，</w:t>
      </w:r>
      <w:r>
        <w:rPr>
          <w:rFonts w:hint="eastAsia" w:hAnsi="宋体" w:cs="宋体"/>
          <w:color w:val="auto"/>
          <w:spacing w:val="-6"/>
          <w:szCs w:val="21"/>
        </w:rPr>
        <w:t>避免过度使用打包餐</w:t>
      </w:r>
      <w:r>
        <w:rPr>
          <w:rFonts w:hint="eastAsia" w:hAnsi="黑体"/>
          <w:bCs/>
          <w:color w:val="auto"/>
        </w:rPr>
        <w:t>（饮）</w:t>
      </w:r>
      <w:r>
        <w:rPr>
          <w:rFonts w:hint="eastAsia" w:hAnsi="宋体" w:cs="宋体"/>
          <w:color w:val="auto"/>
          <w:spacing w:val="-6"/>
          <w:szCs w:val="21"/>
        </w:rPr>
        <w:t>具。</w:t>
      </w:r>
    </w:p>
    <w:p>
      <w:pPr>
        <w:pStyle w:val="28"/>
        <w:ind w:firstLine="0" w:firstLineChars="0"/>
        <w:rPr>
          <w:rFonts w:hAnsi="黑体"/>
          <w:bCs/>
          <w:color w:val="auto"/>
        </w:rPr>
      </w:pPr>
      <w:r>
        <w:rPr>
          <w:rFonts w:hint="eastAsia" w:ascii="黑体" w:hAnsi="黑体" w:eastAsia="黑体" w:cs="黑体"/>
          <w:color w:val="auto"/>
          <w:spacing w:val="-6"/>
          <w:szCs w:val="21"/>
        </w:rPr>
        <w:t xml:space="preserve">9.3.3  </w:t>
      </w:r>
      <w:r>
        <w:rPr>
          <w:rFonts w:hint="eastAsia" w:ascii="Times New Roman" w:hAnsi="Times New Roman" w:eastAsia="宋体" w:cs="Times New Roman"/>
          <w:color w:val="auto"/>
          <w:kern w:val="2"/>
          <w:sz w:val="21"/>
          <w:szCs w:val="24"/>
          <w:lang w:val="en-US" w:eastAsia="zh-CN" w:bidi="ar-SA"/>
        </w:rPr>
        <w:t>应主动提示消费者打包剩菜，鼓励餐饮服务单位提供免费打包服务。</w:t>
      </w:r>
    </w:p>
    <w:p>
      <w:pPr>
        <w:pStyle w:val="111"/>
        <w:ind w:left="0"/>
        <w:rPr>
          <w:rFonts w:hint="eastAsia"/>
          <w:bCs/>
          <w:color w:val="auto"/>
          <w:szCs w:val="22"/>
        </w:rPr>
      </w:pPr>
      <w:r>
        <w:rPr>
          <w:rFonts w:hint="eastAsia"/>
          <w:bCs/>
          <w:color w:val="auto"/>
          <w:szCs w:val="22"/>
        </w:rPr>
        <w:t>服务设备设施及低值易耗品</w:t>
      </w:r>
    </w:p>
    <w:p>
      <w:pPr>
        <w:tabs>
          <w:tab w:val="left" w:pos="628"/>
        </w:tabs>
        <w:spacing w:line="360" w:lineRule="auto"/>
        <w:jc w:val="left"/>
        <w:rPr>
          <w:rFonts w:ascii="黑体" w:hAnsi="黑体" w:eastAsia="黑体" w:cs="黑体"/>
          <w:color w:val="auto"/>
          <w:spacing w:val="-6"/>
          <w:szCs w:val="21"/>
        </w:rPr>
      </w:pPr>
      <w:r>
        <w:rPr>
          <w:rFonts w:hint="eastAsia" w:ascii="黑体" w:hAnsi="黑体" w:eastAsia="黑体" w:cs="黑体"/>
          <w:color w:val="auto"/>
          <w:spacing w:val="-6"/>
          <w:szCs w:val="21"/>
        </w:rPr>
        <w:t>10.1  选择</w:t>
      </w:r>
    </w:p>
    <w:p>
      <w:pPr>
        <w:tabs>
          <w:tab w:val="left" w:pos="628"/>
        </w:tabs>
        <w:snapToGrid w:val="0"/>
        <w:spacing w:line="240" w:lineRule="auto"/>
        <w:jc w:val="left"/>
        <w:rPr>
          <w:color w:val="auto"/>
        </w:rPr>
      </w:pPr>
      <w:r>
        <w:rPr>
          <w:rFonts w:hint="eastAsia" w:ascii="黑体" w:hAnsi="黑体" w:eastAsia="黑体" w:cs="黑体"/>
          <w:color w:val="auto"/>
          <w:spacing w:val="-6"/>
          <w:szCs w:val="21"/>
        </w:rPr>
        <w:t xml:space="preserve">10.1.1 </w:t>
      </w:r>
      <w:r>
        <w:rPr>
          <w:rFonts w:hint="eastAsia"/>
          <w:color w:val="auto"/>
        </w:rPr>
        <w:t xml:space="preserve"> 经营场所的建筑设计应符合GB 50189 中的相关要求。</w:t>
      </w:r>
    </w:p>
    <w:p>
      <w:pPr>
        <w:tabs>
          <w:tab w:val="left" w:pos="628"/>
        </w:tabs>
        <w:snapToGrid w:val="0"/>
        <w:spacing w:line="240" w:lineRule="auto"/>
        <w:jc w:val="left"/>
        <w:rPr>
          <w:color w:val="auto"/>
        </w:rPr>
      </w:pPr>
      <w:r>
        <w:rPr>
          <w:rFonts w:hint="eastAsia" w:ascii="黑体" w:hAnsi="黑体" w:eastAsia="黑体" w:cs="黑体"/>
          <w:color w:val="auto"/>
          <w:spacing w:val="-6"/>
          <w:szCs w:val="21"/>
        </w:rPr>
        <w:t xml:space="preserve">10.1.2  </w:t>
      </w:r>
      <w:r>
        <w:rPr>
          <w:rFonts w:hint="eastAsia"/>
          <w:color w:val="auto"/>
        </w:rPr>
        <w:t>宜优先采用符合国家节能标准的节能型厨具、灶具、冰箱、冰柜，节水型水龙头等设备。</w:t>
      </w:r>
    </w:p>
    <w:p>
      <w:pPr>
        <w:tabs>
          <w:tab w:val="left" w:pos="628"/>
        </w:tabs>
        <w:snapToGrid w:val="0"/>
        <w:spacing w:line="240" w:lineRule="auto"/>
        <w:jc w:val="left"/>
        <w:rPr>
          <w:color w:val="auto"/>
        </w:rPr>
      </w:pPr>
      <w:r>
        <w:rPr>
          <w:rFonts w:hint="eastAsia" w:ascii="黑体" w:hAnsi="黑体" w:eastAsia="黑体" w:cs="黑体"/>
          <w:color w:val="auto"/>
          <w:spacing w:val="-6"/>
          <w:szCs w:val="21"/>
        </w:rPr>
        <w:t xml:space="preserve">10.1.3 </w:t>
      </w:r>
      <w:r>
        <w:rPr>
          <w:rFonts w:hint="eastAsia"/>
          <w:color w:val="auto"/>
        </w:rPr>
        <w:t xml:space="preserve"> 宜合理选用餐饮具，减少大型装饰性餐饮具的使用，鼓励使用符合卫生要求可重复性回收的盘饰。</w:t>
      </w:r>
    </w:p>
    <w:p>
      <w:pPr>
        <w:tabs>
          <w:tab w:val="left" w:pos="628"/>
        </w:tabs>
        <w:snapToGrid w:val="0"/>
        <w:spacing w:line="240" w:lineRule="auto"/>
        <w:jc w:val="left"/>
        <w:rPr>
          <w:color w:val="auto"/>
        </w:rPr>
      </w:pPr>
      <w:r>
        <w:rPr>
          <w:rFonts w:hint="eastAsia" w:ascii="黑体" w:hAnsi="黑体" w:eastAsia="黑体" w:cs="黑体"/>
          <w:color w:val="auto"/>
          <w:spacing w:val="-6"/>
          <w:szCs w:val="21"/>
        </w:rPr>
        <w:t>10.1.</w:t>
      </w:r>
      <w:r>
        <w:rPr>
          <w:rFonts w:hint="eastAsia" w:ascii="黑体" w:hAnsi="黑体" w:eastAsia="黑体" w:cs="黑体"/>
          <w:color w:val="auto"/>
          <w:spacing w:val="-6"/>
          <w:szCs w:val="21"/>
          <w:lang w:val="en-US" w:eastAsia="zh-CN"/>
        </w:rPr>
        <w:t>4</w:t>
      </w:r>
      <w:r>
        <w:rPr>
          <w:rFonts w:hint="eastAsia" w:ascii="黑体" w:hAnsi="黑体" w:eastAsia="黑体" w:cs="黑体"/>
          <w:color w:val="auto"/>
          <w:spacing w:val="-6"/>
          <w:szCs w:val="21"/>
        </w:rPr>
        <w:t xml:space="preserve"> </w:t>
      </w:r>
      <w:r>
        <w:rPr>
          <w:rFonts w:hint="eastAsia"/>
          <w:color w:val="auto"/>
        </w:rPr>
        <w:t xml:space="preserve"> 宜在餐厅设计建造阶段预估能源消耗情况，选择与餐厅面积、营业情况相匹配的设备。</w:t>
      </w:r>
    </w:p>
    <w:p>
      <w:pPr>
        <w:tabs>
          <w:tab w:val="left" w:pos="628"/>
        </w:tabs>
        <w:snapToGrid w:val="0"/>
        <w:spacing w:line="240" w:lineRule="auto"/>
        <w:jc w:val="left"/>
        <w:rPr>
          <w:color w:val="auto"/>
        </w:rPr>
      </w:pPr>
      <w:r>
        <w:rPr>
          <w:rFonts w:hint="eastAsia" w:ascii="黑体" w:hAnsi="黑体" w:eastAsia="黑体" w:cs="黑体"/>
          <w:color w:val="auto"/>
          <w:spacing w:val="-6"/>
          <w:szCs w:val="21"/>
        </w:rPr>
        <w:t>10.1.</w:t>
      </w:r>
      <w:r>
        <w:rPr>
          <w:rFonts w:hint="eastAsia" w:ascii="黑体" w:hAnsi="黑体" w:eastAsia="黑体" w:cs="黑体"/>
          <w:color w:val="auto"/>
          <w:spacing w:val="-6"/>
          <w:szCs w:val="21"/>
          <w:lang w:val="en-US" w:eastAsia="zh-CN"/>
        </w:rPr>
        <w:t>5</w:t>
      </w:r>
      <w:r>
        <w:rPr>
          <w:rFonts w:hint="eastAsia" w:ascii="黑体" w:hAnsi="黑体" w:eastAsia="黑体" w:cs="黑体"/>
          <w:color w:val="auto"/>
          <w:spacing w:val="-6"/>
          <w:szCs w:val="21"/>
        </w:rPr>
        <w:t xml:space="preserve"> </w:t>
      </w:r>
      <w:r>
        <w:rPr>
          <w:rFonts w:hint="eastAsia"/>
          <w:color w:val="auto"/>
        </w:rPr>
        <w:t xml:space="preserve"> 宜安装油水分离装置。</w:t>
      </w:r>
    </w:p>
    <w:p>
      <w:pPr>
        <w:tabs>
          <w:tab w:val="left" w:pos="628"/>
        </w:tabs>
        <w:snapToGrid w:val="0"/>
        <w:spacing w:line="240" w:lineRule="auto"/>
        <w:jc w:val="left"/>
        <w:rPr>
          <w:color w:val="auto"/>
        </w:rPr>
      </w:pPr>
      <w:r>
        <w:rPr>
          <w:rFonts w:hint="eastAsia" w:ascii="黑体" w:hAnsi="黑体" w:eastAsia="黑体" w:cs="黑体"/>
          <w:color w:val="auto"/>
          <w:spacing w:val="-6"/>
          <w:szCs w:val="21"/>
        </w:rPr>
        <w:t>10.1.</w:t>
      </w:r>
      <w:r>
        <w:rPr>
          <w:rFonts w:hint="eastAsia" w:ascii="黑体" w:hAnsi="黑体" w:eastAsia="黑体" w:cs="黑体"/>
          <w:color w:val="auto"/>
          <w:spacing w:val="-6"/>
          <w:szCs w:val="21"/>
          <w:lang w:val="en-US" w:eastAsia="zh-CN"/>
        </w:rPr>
        <w:t>6</w:t>
      </w:r>
      <w:r>
        <w:rPr>
          <w:rFonts w:hint="eastAsia" w:ascii="黑体" w:hAnsi="黑体" w:eastAsia="黑体" w:cs="黑体"/>
          <w:color w:val="auto"/>
          <w:spacing w:val="-6"/>
          <w:szCs w:val="21"/>
        </w:rPr>
        <w:t xml:space="preserve">  </w:t>
      </w:r>
      <w:r>
        <w:rPr>
          <w:rFonts w:hint="eastAsia"/>
          <w:color w:val="auto"/>
        </w:rPr>
        <w:t>宜采用能源转换设备。</w:t>
      </w:r>
    </w:p>
    <w:p>
      <w:pPr>
        <w:tabs>
          <w:tab w:val="left" w:pos="628"/>
        </w:tabs>
        <w:snapToGrid w:val="0"/>
        <w:spacing w:line="240" w:lineRule="auto"/>
        <w:jc w:val="left"/>
        <w:rPr>
          <w:color w:val="auto"/>
        </w:rPr>
      </w:pPr>
      <w:r>
        <w:rPr>
          <w:rFonts w:hint="eastAsia" w:ascii="黑体" w:hAnsi="黑体" w:eastAsia="黑体" w:cs="黑体"/>
          <w:color w:val="auto"/>
          <w:spacing w:val="-6"/>
          <w:szCs w:val="21"/>
        </w:rPr>
        <w:t>10.1.</w:t>
      </w:r>
      <w:r>
        <w:rPr>
          <w:rFonts w:hint="eastAsia" w:ascii="黑体" w:hAnsi="黑体" w:eastAsia="黑体" w:cs="黑体"/>
          <w:color w:val="auto"/>
          <w:spacing w:val="-6"/>
          <w:szCs w:val="21"/>
          <w:lang w:val="en-US" w:eastAsia="zh-CN"/>
        </w:rPr>
        <w:t>7</w:t>
      </w:r>
      <w:r>
        <w:rPr>
          <w:rFonts w:hint="eastAsia" w:ascii="黑体" w:hAnsi="黑体" w:eastAsia="黑体" w:cs="黑体"/>
          <w:color w:val="auto"/>
          <w:spacing w:val="-6"/>
          <w:szCs w:val="21"/>
        </w:rPr>
        <w:t xml:space="preserve">  </w:t>
      </w:r>
      <w:r>
        <w:rPr>
          <w:rFonts w:hint="eastAsia"/>
          <w:color w:val="auto"/>
        </w:rPr>
        <w:t>宜在常年温差大的地区采用外墙保温措施。</w:t>
      </w:r>
    </w:p>
    <w:p>
      <w:pPr>
        <w:tabs>
          <w:tab w:val="left" w:pos="628"/>
        </w:tabs>
        <w:snapToGrid w:val="0"/>
        <w:spacing w:line="240" w:lineRule="auto"/>
        <w:jc w:val="left"/>
        <w:rPr>
          <w:color w:val="auto"/>
        </w:rPr>
      </w:pPr>
      <w:r>
        <w:rPr>
          <w:rFonts w:hint="eastAsia" w:ascii="黑体" w:hAnsi="黑体" w:eastAsia="黑体" w:cs="黑体"/>
          <w:color w:val="auto"/>
          <w:spacing w:val="-6"/>
          <w:szCs w:val="21"/>
        </w:rPr>
        <w:t>10.1.</w:t>
      </w:r>
      <w:r>
        <w:rPr>
          <w:rFonts w:hint="eastAsia" w:ascii="黑体" w:hAnsi="黑体" w:eastAsia="黑体" w:cs="黑体"/>
          <w:color w:val="auto"/>
          <w:spacing w:val="-6"/>
          <w:szCs w:val="21"/>
          <w:lang w:val="en-US" w:eastAsia="zh-CN"/>
        </w:rPr>
        <w:t>8</w:t>
      </w:r>
      <w:r>
        <w:rPr>
          <w:rFonts w:hint="eastAsia"/>
          <w:color w:val="auto"/>
        </w:rPr>
        <w:t xml:space="preserve">  客用卫生间宜使用感应式自动控制节水设备，节约用水。有条件的餐饮服务单位可安装废水处理设备，提高水资源利用率。</w:t>
      </w:r>
    </w:p>
    <w:p>
      <w:pPr>
        <w:tabs>
          <w:tab w:val="left" w:pos="628"/>
        </w:tabs>
        <w:snapToGrid w:val="0"/>
        <w:spacing w:line="240" w:lineRule="auto"/>
        <w:jc w:val="left"/>
        <w:rPr>
          <w:color w:val="auto"/>
        </w:rPr>
      </w:pPr>
      <w:r>
        <w:rPr>
          <w:rFonts w:hint="eastAsia" w:ascii="黑体" w:hAnsi="黑体" w:eastAsia="黑体" w:cs="黑体"/>
          <w:color w:val="auto"/>
          <w:spacing w:val="-6"/>
          <w:szCs w:val="21"/>
        </w:rPr>
        <w:t>10.1.</w:t>
      </w:r>
      <w:r>
        <w:rPr>
          <w:rFonts w:hint="eastAsia" w:ascii="黑体" w:hAnsi="黑体" w:eastAsia="黑体" w:cs="黑体"/>
          <w:color w:val="auto"/>
          <w:spacing w:val="-6"/>
          <w:szCs w:val="21"/>
          <w:lang w:val="en-US" w:eastAsia="zh-CN"/>
        </w:rPr>
        <w:t>9</w:t>
      </w:r>
      <w:r>
        <w:rPr>
          <w:rFonts w:hint="eastAsia" w:ascii="黑体" w:hAnsi="黑体" w:eastAsia="黑体" w:cs="黑体"/>
          <w:color w:val="auto"/>
          <w:spacing w:val="-6"/>
          <w:szCs w:val="21"/>
        </w:rPr>
        <w:t xml:space="preserve"> </w:t>
      </w:r>
      <w:r>
        <w:rPr>
          <w:rFonts w:hint="eastAsia"/>
          <w:color w:val="auto"/>
        </w:rPr>
        <w:t xml:space="preserve"> 宜选用低能耗办公设备，规范办公用品的配备、采购和领用流程, 倡导无纸化办公。</w:t>
      </w:r>
    </w:p>
    <w:p>
      <w:pPr>
        <w:tabs>
          <w:tab w:val="left" w:pos="628"/>
        </w:tabs>
        <w:snapToGrid w:val="0"/>
        <w:spacing w:line="240" w:lineRule="auto"/>
        <w:jc w:val="left"/>
        <w:rPr>
          <w:color w:val="auto"/>
        </w:rPr>
      </w:pPr>
      <w:r>
        <w:rPr>
          <w:rFonts w:hint="eastAsia" w:ascii="黑体" w:hAnsi="黑体" w:eastAsia="黑体" w:cs="黑体"/>
          <w:color w:val="auto"/>
          <w:spacing w:val="-6"/>
          <w:szCs w:val="21"/>
        </w:rPr>
        <w:t>10.1.</w:t>
      </w:r>
      <w:r>
        <w:rPr>
          <w:rFonts w:hint="eastAsia" w:ascii="黑体" w:hAnsi="黑体" w:eastAsia="黑体" w:cs="黑体"/>
          <w:color w:val="auto"/>
          <w:spacing w:val="-6"/>
          <w:szCs w:val="21"/>
          <w:lang w:val="en-US" w:eastAsia="zh-CN"/>
        </w:rPr>
        <w:t>10</w:t>
      </w:r>
      <w:r>
        <w:rPr>
          <w:rFonts w:hint="eastAsia" w:ascii="黑体" w:hAnsi="黑体" w:eastAsia="黑体" w:cs="黑体"/>
          <w:color w:val="auto"/>
          <w:spacing w:val="-6"/>
          <w:szCs w:val="21"/>
        </w:rPr>
        <w:t xml:space="preserve">  </w:t>
      </w:r>
      <w:r>
        <w:rPr>
          <w:rFonts w:hint="eastAsia"/>
          <w:color w:val="auto"/>
        </w:rPr>
        <w:t>宜减少一次性用品的消耗。</w:t>
      </w:r>
    </w:p>
    <w:p>
      <w:pPr>
        <w:tabs>
          <w:tab w:val="left" w:pos="628"/>
        </w:tabs>
        <w:spacing w:line="360" w:lineRule="auto"/>
        <w:jc w:val="left"/>
        <w:rPr>
          <w:rFonts w:ascii="黑体" w:hAnsi="黑体" w:eastAsia="黑体" w:cs="黑体"/>
          <w:color w:val="auto"/>
          <w:spacing w:val="-6"/>
          <w:szCs w:val="21"/>
        </w:rPr>
      </w:pPr>
      <w:r>
        <w:rPr>
          <w:rFonts w:hint="eastAsia" w:ascii="黑体" w:hAnsi="黑体" w:eastAsia="黑体" w:cs="黑体"/>
          <w:color w:val="auto"/>
          <w:spacing w:val="-6"/>
          <w:szCs w:val="21"/>
        </w:rPr>
        <w:t>10.2  使用</w:t>
      </w:r>
    </w:p>
    <w:p>
      <w:pPr>
        <w:tabs>
          <w:tab w:val="left" w:pos="628"/>
        </w:tabs>
        <w:jc w:val="left"/>
        <w:rPr>
          <w:color w:val="auto"/>
        </w:rPr>
      </w:pPr>
      <w:r>
        <w:rPr>
          <w:rFonts w:hint="eastAsia" w:ascii="黑体" w:hAnsi="黑体" w:eastAsia="黑体" w:cs="黑体"/>
          <w:color w:val="auto"/>
          <w:spacing w:val="-6"/>
          <w:szCs w:val="21"/>
        </w:rPr>
        <w:t xml:space="preserve">10.2.1 </w:t>
      </w:r>
      <w:r>
        <w:rPr>
          <w:color w:val="auto"/>
        </w:rPr>
        <w:t xml:space="preserve"> 根据营业状况和设备使用说明书，制定电力设备的开关时间，宜采用分区开关等能源控制方案或采用自动</w:t>
      </w:r>
      <w:r>
        <w:rPr>
          <w:rFonts w:hint="eastAsia"/>
          <w:color w:val="auto"/>
        </w:rPr>
        <w:t>、定时</w:t>
      </w:r>
      <w:r>
        <w:rPr>
          <w:color w:val="auto"/>
        </w:rPr>
        <w:t>开关控制设备。</w:t>
      </w:r>
    </w:p>
    <w:p>
      <w:pPr>
        <w:tabs>
          <w:tab w:val="left" w:pos="628"/>
        </w:tabs>
        <w:jc w:val="left"/>
        <w:rPr>
          <w:color w:val="auto"/>
        </w:rPr>
      </w:pPr>
      <w:r>
        <w:rPr>
          <w:rFonts w:ascii="黑体" w:hAnsi="黑体" w:eastAsia="黑体" w:cs="黑体"/>
          <w:color w:val="auto"/>
          <w:spacing w:val="-6"/>
          <w:szCs w:val="21"/>
        </w:rPr>
        <w:t xml:space="preserve">10.2.2 </w:t>
      </w:r>
      <w:r>
        <w:rPr>
          <w:color w:val="auto"/>
        </w:rPr>
        <w:t xml:space="preserve"> 使用空调制冷或制热时,宜采取安装门窗自动闭合器或门帘等防止能量流失的措施。</w:t>
      </w:r>
    </w:p>
    <w:p>
      <w:pPr>
        <w:tabs>
          <w:tab w:val="left" w:pos="628"/>
        </w:tabs>
        <w:jc w:val="left"/>
        <w:rPr>
          <w:color w:val="auto"/>
        </w:rPr>
      </w:pPr>
      <w:r>
        <w:rPr>
          <w:rFonts w:ascii="黑体" w:hAnsi="黑体" w:eastAsia="黑体" w:cs="黑体"/>
          <w:color w:val="auto"/>
          <w:spacing w:val="-6"/>
          <w:szCs w:val="21"/>
        </w:rPr>
        <w:t xml:space="preserve">10.2.3 </w:t>
      </w:r>
      <w:r>
        <w:rPr>
          <w:color w:val="auto"/>
        </w:rPr>
        <w:t xml:space="preserve"> 冰箱冰柜使用应减少开关次数</w:t>
      </w:r>
      <w:r>
        <w:rPr>
          <w:rFonts w:hint="eastAsia"/>
          <w:color w:val="auto"/>
        </w:rPr>
        <w:t>和时</w:t>
      </w:r>
      <w:r>
        <w:rPr>
          <w:color w:val="auto"/>
        </w:rPr>
        <w:t>长，定期做好设备维护。</w:t>
      </w:r>
    </w:p>
    <w:p>
      <w:pPr>
        <w:tabs>
          <w:tab w:val="left" w:pos="628"/>
        </w:tabs>
        <w:jc w:val="left"/>
        <w:rPr>
          <w:color w:val="auto"/>
        </w:rPr>
      </w:pPr>
      <w:r>
        <w:rPr>
          <w:rFonts w:ascii="黑体" w:hAnsi="黑体" w:eastAsia="黑体" w:cs="黑体"/>
          <w:color w:val="auto"/>
          <w:spacing w:val="-6"/>
          <w:szCs w:val="21"/>
        </w:rPr>
        <w:t xml:space="preserve">10.2.4 </w:t>
      </w:r>
      <w:r>
        <w:rPr>
          <w:color w:val="auto"/>
        </w:rPr>
        <w:t xml:space="preserve"> 应定期维护油烟净化设施，通风排烟宜采用调节装置，不使用时应关闭设备，排烟应符</w:t>
      </w:r>
      <w:r>
        <w:rPr>
          <w:rFonts w:hint="eastAsia" w:ascii="宋体" w:hAnsi="宋体" w:cs="宋体"/>
          <w:color w:val="auto"/>
          <w:szCs w:val="22"/>
        </w:rPr>
        <w:t>合GB 18483《饮食业油烟排放标准</w:t>
      </w:r>
      <w:r>
        <w:rPr>
          <w:rFonts w:hint="eastAsia"/>
          <w:color w:val="auto"/>
        </w:rPr>
        <w:t>》的</w:t>
      </w:r>
      <w:r>
        <w:rPr>
          <w:color w:val="auto"/>
        </w:rPr>
        <w:t>要求。</w:t>
      </w:r>
    </w:p>
    <w:p>
      <w:pPr>
        <w:tabs>
          <w:tab w:val="left" w:pos="628"/>
        </w:tabs>
        <w:jc w:val="left"/>
        <w:rPr>
          <w:color w:val="auto"/>
        </w:rPr>
      </w:pPr>
      <w:r>
        <w:rPr>
          <w:rFonts w:ascii="黑体" w:hAnsi="黑体" w:eastAsia="黑体" w:cs="黑体"/>
          <w:color w:val="auto"/>
          <w:spacing w:val="-6"/>
          <w:szCs w:val="21"/>
        </w:rPr>
        <w:t xml:space="preserve">10.2.5 </w:t>
      </w:r>
      <w:r>
        <w:rPr>
          <w:color w:val="auto"/>
        </w:rPr>
        <w:t xml:space="preserve"> 烹饪完毕后应关闭相应的气阀、排风扇等设备。</w:t>
      </w:r>
    </w:p>
    <w:p>
      <w:pPr>
        <w:tabs>
          <w:tab w:val="left" w:pos="628"/>
        </w:tabs>
        <w:jc w:val="left"/>
        <w:rPr>
          <w:color w:val="auto"/>
        </w:rPr>
      </w:pPr>
      <w:r>
        <w:rPr>
          <w:rFonts w:ascii="黑体" w:hAnsi="黑体" w:eastAsia="黑体" w:cs="黑体"/>
          <w:color w:val="auto"/>
          <w:spacing w:val="-6"/>
          <w:szCs w:val="21"/>
        </w:rPr>
        <w:t xml:space="preserve">10.2.6 </w:t>
      </w:r>
      <w:r>
        <w:rPr>
          <w:color w:val="auto"/>
        </w:rPr>
        <w:t xml:space="preserve"> 闭店后应及时关闭相应用电设备。</w:t>
      </w:r>
    </w:p>
    <w:p>
      <w:pPr>
        <w:tabs>
          <w:tab w:val="left" w:pos="628"/>
        </w:tabs>
        <w:jc w:val="left"/>
        <w:rPr>
          <w:color w:val="auto"/>
        </w:rPr>
      </w:pPr>
      <w:r>
        <w:rPr>
          <w:rFonts w:ascii="黑体" w:hAnsi="黑体" w:eastAsia="黑体" w:cs="黑体"/>
          <w:color w:val="auto"/>
          <w:spacing w:val="-6"/>
          <w:szCs w:val="21"/>
        </w:rPr>
        <w:t xml:space="preserve">10.2.7  </w:t>
      </w:r>
      <w:r>
        <w:rPr>
          <w:color w:val="auto"/>
        </w:rPr>
        <w:t>定期擦拭灯具、灯管，避免污染物累积而降低灯具照明效率，并依环境条件（如落尘量）决定灯具的清洁周期。</w:t>
      </w:r>
    </w:p>
    <w:p>
      <w:pPr>
        <w:tabs>
          <w:tab w:val="left" w:pos="628"/>
        </w:tabs>
        <w:jc w:val="left"/>
        <w:rPr>
          <w:color w:val="auto"/>
        </w:rPr>
      </w:pPr>
      <w:r>
        <w:rPr>
          <w:rFonts w:ascii="黑体" w:hAnsi="黑体" w:eastAsia="黑体" w:cs="黑体"/>
          <w:color w:val="auto"/>
          <w:spacing w:val="-6"/>
          <w:szCs w:val="21"/>
        </w:rPr>
        <w:t xml:space="preserve">10.2.8 </w:t>
      </w:r>
      <w:r>
        <w:rPr>
          <w:color w:val="auto"/>
        </w:rPr>
        <w:t xml:space="preserve"> 应定期维护阀门、构件等设备部件，防止冷热水和冷热风的跑、冒、滴、漏现象，保持设备高效运行。</w:t>
      </w:r>
    </w:p>
    <w:p>
      <w:pPr>
        <w:tabs>
          <w:tab w:val="left" w:pos="628"/>
        </w:tabs>
        <w:jc w:val="left"/>
        <w:rPr>
          <w:color w:val="auto"/>
        </w:rPr>
      </w:pPr>
      <w:r>
        <w:rPr>
          <w:rFonts w:ascii="黑体" w:hAnsi="黑体" w:eastAsia="黑体" w:cs="黑体"/>
          <w:color w:val="auto"/>
          <w:spacing w:val="-6"/>
          <w:szCs w:val="21"/>
        </w:rPr>
        <w:t xml:space="preserve">10.2.9 </w:t>
      </w:r>
      <w:r>
        <w:rPr>
          <w:color w:val="auto"/>
        </w:rPr>
        <w:t xml:space="preserve"> </w:t>
      </w:r>
      <w:r>
        <w:rPr>
          <w:rFonts w:hint="eastAsia"/>
          <w:color w:val="auto"/>
        </w:rPr>
        <w:t>视器皿清洁程度，合理使用</w:t>
      </w:r>
      <w:r>
        <w:rPr>
          <w:color w:val="auto"/>
        </w:rPr>
        <w:t>百洁布、</w:t>
      </w:r>
      <w:r>
        <w:rPr>
          <w:rFonts w:hint="eastAsia"/>
          <w:color w:val="auto"/>
        </w:rPr>
        <w:t>洗洁精等清洁用品。</w:t>
      </w:r>
    </w:p>
    <w:p>
      <w:pPr>
        <w:pStyle w:val="111"/>
        <w:ind w:left="0"/>
        <w:rPr>
          <w:bCs/>
          <w:color w:val="auto"/>
          <w:szCs w:val="22"/>
        </w:rPr>
      </w:pPr>
      <w:r>
        <w:rPr>
          <w:rFonts w:hint="eastAsia"/>
          <w:bCs/>
          <w:color w:val="auto"/>
          <w:szCs w:val="22"/>
        </w:rPr>
        <w:t>服务人员</w:t>
      </w:r>
    </w:p>
    <w:p>
      <w:pPr>
        <w:tabs>
          <w:tab w:val="left" w:pos="628"/>
        </w:tabs>
        <w:jc w:val="left"/>
        <w:rPr>
          <w:color w:val="auto"/>
        </w:rPr>
      </w:pPr>
      <w:r>
        <w:rPr>
          <w:rFonts w:hint="eastAsia" w:ascii="黑体" w:hAnsi="黑体" w:eastAsia="黑体" w:cs="黑体"/>
          <w:color w:val="auto"/>
          <w:spacing w:val="-6"/>
          <w:szCs w:val="21"/>
        </w:rPr>
        <w:t xml:space="preserve">11.1 </w:t>
      </w:r>
      <w:r>
        <w:rPr>
          <w:rFonts w:hint="eastAsia"/>
          <w:color w:val="auto"/>
        </w:rPr>
        <w:t xml:space="preserve"> 应将餐饮节约行为理念作为必要内容，加强餐饮服务人员专业知识和职业道德培训，并建立定期培训机制和考核记录。</w:t>
      </w:r>
    </w:p>
    <w:p>
      <w:pPr>
        <w:tabs>
          <w:tab w:val="left" w:pos="628"/>
        </w:tabs>
        <w:jc w:val="left"/>
        <w:rPr>
          <w:color w:val="auto"/>
        </w:rPr>
      </w:pPr>
      <w:r>
        <w:rPr>
          <w:rFonts w:hint="eastAsia" w:ascii="黑体" w:hAnsi="黑体" w:eastAsia="黑体" w:cs="黑体"/>
          <w:color w:val="auto"/>
          <w:spacing w:val="-6"/>
          <w:szCs w:val="21"/>
        </w:rPr>
        <w:t>11.2</w:t>
      </w:r>
      <w:r>
        <w:rPr>
          <w:rFonts w:hint="eastAsia"/>
          <w:color w:val="auto"/>
        </w:rPr>
        <w:t xml:space="preserve">  宜设置专(兼)职的监督人员，对餐饮浪费行为进行及时劝导。</w:t>
      </w:r>
    </w:p>
    <w:p>
      <w:pPr>
        <w:tabs>
          <w:tab w:val="left" w:pos="628"/>
        </w:tabs>
        <w:jc w:val="left"/>
        <w:rPr>
          <w:color w:val="auto"/>
        </w:rPr>
      </w:pPr>
      <w:r>
        <w:rPr>
          <w:rFonts w:hint="eastAsia" w:ascii="黑体" w:hAnsi="黑体" w:eastAsia="黑体" w:cs="黑体"/>
          <w:color w:val="auto"/>
          <w:spacing w:val="-6"/>
          <w:szCs w:val="21"/>
        </w:rPr>
        <w:t>11.3</w:t>
      </w:r>
      <w:r>
        <w:rPr>
          <w:rFonts w:hint="eastAsia"/>
          <w:color w:val="auto"/>
        </w:rPr>
        <w:t xml:space="preserve">  应提高专业人员的技能，合理利用原辅料，避免浪费。</w:t>
      </w:r>
    </w:p>
    <w:p>
      <w:pPr>
        <w:pStyle w:val="111"/>
        <w:ind w:left="0"/>
        <w:rPr>
          <w:bCs/>
          <w:color w:val="auto"/>
          <w:szCs w:val="22"/>
        </w:rPr>
      </w:pPr>
      <w:r>
        <w:rPr>
          <w:rFonts w:hint="eastAsia"/>
          <w:bCs/>
          <w:color w:val="auto"/>
          <w:szCs w:val="22"/>
        </w:rPr>
        <w:t>宣传教育</w:t>
      </w:r>
    </w:p>
    <w:p>
      <w:pPr>
        <w:tabs>
          <w:tab w:val="left" w:pos="628"/>
        </w:tabs>
        <w:jc w:val="left"/>
        <w:rPr>
          <w:color w:val="auto"/>
        </w:rPr>
      </w:pPr>
      <w:r>
        <w:rPr>
          <w:rFonts w:hint="eastAsia" w:ascii="黑体" w:hAnsi="黑体" w:eastAsia="黑体" w:cs="黑体"/>
          <w:color w:val="auto"/>
          <w:spacing w:val="-6"/>
          <w:szCs w:val="21"/>
        </w:rPr>
        <w:t xml:space="preserve">12.1 </w:t>
      </w:r>
      <w:r>
        <w:rPr>
          <w:rFonts w:hint="eastAsia"/>
          <w:color w:val="auto"/>
        </w:rPr>
        <w:t xml:space="preserve"> 应在餐饮场所的楼梯、走廊、大厅等显著位置标识“厉行节约、反对浪费”“光盘行动”“文明用餐”等宣传标语或宣传漫画。</w:t>
      </w:r>
    </w:p>
    <w:p>
      <w:pPr>
        <w:tabs>
          <w:tab w:val="left" w:pos="628"/>
        </w:tabs>
        <w:jc w:val="left"/>
        <w:rPr>
          <w:color w:val="auto"/>
        </w:rPr>
      </w:pPr>
      <w:r>
        <w:rPr>
          <w:rFonts w:hint="eastAsia" w:ascii="黑体" w:hAnsi="黑体" w:eastAsia="黑体" w:cs="黑体"/>
          <w:color w:val="auto"/>
          <w:spacing w:val="-6"/>
          <w:szCs w:val="21"/>
        </w:rPr>
        <w:t xml:space="preserve">12.2 </w:t>
      </w:r>
      <w:r>
        <w:rPr>
          <w:rFonts w:hint="eastAsia"/>
          <w:color w:val="auto"/>
        </w:rPr>
        <w:t xml:space="preserve"> 宜在餐厅内对消费者进行节约食物、减少浪费宣传教育，对节约用餐的消费者给予表扬，或者通过增加会员积分、打折、停车优惠、发放优惠券、送果盘等多种方式给予奖励。</w:t>
      </w:r>
    </w:p>
    <w:p>
      <w:pPr>
        <w:tabs>
          <w:tab w:val="left" w:pos="628"/>
        </w:tabs>
        <w:jc w:val="left"/>
        <w:rPr>
          <w:color w:val="auto"/>
        </w:rPr>
      </w:pPr>
      <w:r>
        <w:rPr>
          <w:rFonts w:hint="eastAsia" w:ascii="黑体" w:hAnsi="黑体" w:eastAsia="黑体" w:cs="黑体"/>
          <w:color w:val="auto"/>
          <w:spacing w:val="-6"/>
          <w:szCs w:val="21"/>
        </w:rPr>
        <w:t>12.3</w:t>
      </w:r>
      <w:r>
        <w:rPr>
          <w:rFonts w:hint="eastAsia"/>
          <w:color w:val="auto"/>
        </w:rPr>
        <w:t xml:space="preserve">  宜在网络自媒体对消费者进行节约食、物减少浪费宣传教育，在餐饮企业的官方公众号、抖音号、快手号、微博账号等媒体录制倡导节约、避免浪费的公益广告和视频，向顾客进行线上宣传教育。</w:t>
      </w:r>
    </w:p>
    <w:p>
      <w:pPr>
        <w:pStyle w:val="111"/>
        <w:ind w:left="0"/>
        <w:rPr>
          <w:rFonts w:ascii="宋体" w:hAnsi="宋体" w:eastAsia="宋体" w:cs="宋体"/>
          <w:color w:val="auto"/>
          <w:spacing w:val="-6"/>
          <w:szCs w:val="21"/>
        </w:rPr>
      </w:pPr>
      <w:r>
        <w:rPr>
          <w:rFonts w:hint="eastAsia"/>
          <w:bCs/>
          <w:color w:val="auto"/>
          <w:szCs w:val="22"/>
        </w:rPr>
        <w:t>服务培训</w:t>
      </w:r>
    </w:p>
    <w:p>
      <w:pPr>
        <w:pStyle w:val="111"/>
        <w:numPr>
          <w:ilvl w:val="0"/>
          <w:numId w:val="0"/>
        </w:numPr>
        <w:spacing w:before="0" w:beforeLines="0" w:after="0" w:afterLines="0"/>
        <w:outlineLvl w:val="9"/>
        <w:rPr>
          <w:rFonts w:ascii="宋体" w:hAnsi="宋体" w:eastAsia="宋体" w:cs="宋体"/>
          <w:color w:val="auto"/>
          <w:spacing w:val="-6"/>
          <w:kern w:val="2"/>
          <w:szCs w:val="21"/>
        </w:rPr>
      </w:pPr>
      <w:r>
        <w:rPr>
          <w:rFonts w:hint="eastAsia" w:hAnsi="黑体" w:cs="黑体"/>
          <w:color w:val="auto"/>
          <w:spacing w:val="-6"/>
          <w:kern w:val="2"/>
          <w:szCs w:val="21"/>
        </w:rPr>
        <w:t>13.1</w:t>
      </w:r>
      <w:r>
        <w:rPr>
          <w:rFonts w:hint="eastAsia" w:ascii="宋体" w:hAnsi="宋体" w:eastAsia="宋体" w:cs="宋体"/>
          <w:color w:val="auto"/>
          <w:spacing w:val="-6"/>
          <w:kern w:val="2"/>
          <w:szCs w:val="21"/>
        </w:rPr>
        <w:t xml:space="preserve">  宜将节约要求纳入员工日常培训。</w:t>
      </w:r>
    </w:p>
    <w:p>
      <w:pPr>
        <w:tabs>
          <w:tab w:val="left" w:pos="628"/>
        </w:tabs>
        <w:jc w:val="left"/>
        <w:rPr>
          <w:color w:val="auto"/>
        </w:rPr>
      </w:pPr>
      <w:r>
        <w:rPr>
          <w:rFonts w:hint="eastAsia" w:ascii="黑体" w:hAnsi="黑体" w:eastAsia="黑体" w:cs="黑体"/>
          <w:color w:val="auto"/>
          <w:spacing w:val="-6"/>
          <w:szCs w:val="21"/>
        </w:rPr>
        <w:t>13.2</w:t>
      </w:r>
      <w:r>
        <w:rPr>
          <w:rFonts w:hint="eastAsia"/>
          <w:color w:val="auto"/>
        </w:rPr>
        <w:t xml:space="preserve">  可结合实际经营需求开展服务培训。</w:t>
      </w:r>
    </w:p>
    <w:p>
      <w:pPr>
        <w:tabs>
          <w:tab w:val="left" w:pos="628"/>
        </w:tabs>
        <w:jc w:val="left"/>
        <w:rPr>
          <w:color w:val="auto"/>
        </w:rPr>
      </w:pPr>
      <w:r>
        <w:rPr>
          <w:rFonts w:hint="eastAsia" w:ascii="黑体" w:hAnsi="黑体" w:eastAsia="黑体" w:cs="黑体"/>
          <w:color w:val="auto"/>
          <w:spacing w:val="-6"/>
          <w:szCs w:val="21"/>
        </w:rPr>
        <w:t>13.3</w:t>
      </w:r>
      <w:r>
        <w:rPr>
          <w:rFonts w:hint="eastAsia"/>
          <w:color w:val="auto"/>
        </w:rPr>
        <w:t xml:space="preserve">  应做好培训记录，并与日常考核相结合。</w:t>
      </w:r>
    </w:p>
    <w:p>
      <w:pPr>
        <w:pStyle w:val="111"/>
        <w:ind w:left="0"/>
        <w:rPr>
          <w:color w:val="auto"/>
        </w:rPr>
      </w:pPr>
      <w:bookmarkStart w:id="18" w:name="_Toc13385"/>
      <w:r>
        <w:rPr>
          <w:rFonts w:hint="eastAsia"/>
          <w:color w:val="auto"/>
        </w:rPr>
        <w:t>监督、评价与改进</w:t>
      </w:r>
      <w:bookmarkEnd w:id="18"/>
    </w:p>
    <w:p>
      <w:pPr>
        <w:pStyle w:val="61"/>
        <w:ind w:left="3400" w:hanging="3399" w:hangingChars="1619"/>
        <w:rPr>
          <w:color w:val="auto"/>
        </w:rPr>
      </w:pPr>
      <w:r>
        <w:rPr>
          <w:rFonts w:hint="eastAsia"/>
          <w:color w:val="auto"/>
        </w:rPr>
        <w:t>监督</w:t>
      </w:r>
    </w:p>
    <w:p>
      <w:pPr>
        <w:ind w:firstLine="420" w:firstLineChars="200"/>
        <w:rPr>
          <w:color w:val="auto"/>
        </w:rPr>
      </w:pPr>
      <w:r>
        <w:rPr>
          <w:rFonts w:hint="eastAsia"/>
          <w:color w:val="auto"/>
        </w:rPr>
        <w:t>应建立完善的监督检查机制，可采取内部监督检查、第三方监督检查和社会监督等多种监督检查形式，定期或不定期对餐饮服务单位的节约经营服务情况进行监督检查。</w:t>
      </w:r>
      <w:bookmarkStart w:id="19" w:name="6.1.2__政务服务大厅应建立意见反馈机制，可采取现场、电话、信函、传真、电子"/>
      <w:bookmarkEnd w:id="19"/>
    </w:p>
    <w:p>
      <w:pPr>
        <w:pStyle w:val="61"/>
        <w:ind w:left="3400" w:hanging="3399" w:hangingChars="1619"/>
        <w:rPr>
          <w:color w:val="auto"/>
        </w:rPr>
      </w:pPr>
      <w:bookmarkStart w:id="20" w:name="6.1.4__应建立政务服务责任追究制度，严格按照实施流程及要求，明确责任追究的"/>
      <w:bookmarkEnd w:id="20"/>
      <w:r>
        <w:rPr>
          <w:rFonts w:hint="eastAsia"/>
          <w:color w:val="auto"/>
        </w:rPr>
        <w:t>评价与改进</w:t>
      </w:r>
    </w:p>
    <w:p>
      <w:pPr>
        <w:pStyle w:val="68"/>
        <w:rPr>
          <w:rFonts w:hAnsi="宋体"/>
          <w:color w:val="auto"/>
          <w:lang w:val="pl-PL"/>
        </w:rPr>
      </w:pPr>
      <w:r>
        <w:rPr>
          <w:rFonts w:hint="eastAsia" w:hAnsi="宋体"/>
          <w:color w:val="auto"/>
        </w:rPr>
        <w:t>餐饮服务单位应每年/季度/月对其节约经营服务情况进行汇总和综合评价。</w:t>
      </w:r>
    </w:p>
    <w:p>
      <w:pPr>
        <w:pStyle w:val="68"/>
        <w:rPr>
          <w:rFonts w:hAnsi="宋体"/>
          <w:color w:val="auto"/>
          <w:lang w:val="pl-PL"/>
        </w:rPr>
      </w:pPr>
      <w:bookmarkStart w:id="21" w:name="6.1.3__对监督检查中发现的问题以及投诉，政务服务大厅管理机构应及时调查核实"/>
      <w:bookmarkEnd w:id="21"/>
      <w:r>
        <w:rPr>
          <w:rFonts w:hAnsi="宋体"/>
          <w:color w:val="auto"/>
        </w:rPr>
        <w:t>在显著位置设立公众意见箱、留言本，公开监督电话，每年应定期开展不少于一次的群众满意度测评活动。</w:t>
      </w:r>
    </w:p>
    <w:p>
      <w:pPr>
        <w:pStyle w:val="68"/>
        <w:rPr>
          <w:rFonts w:hAnsi="宋体"/>
          <w:color w:val="auto"/>
          <w:lang w:val="pl-PL"/>
        </w:rPr>
      </w:pPr>
      <w:r>
        <w:rPr>
          <w:rFonts w:hAnsi="宋体"/>
          <w:color w:val="auto"/>
        </w:rPr>
        <w:t>可自行或委托相关机构进行群众满意度调查，调查表发放量应不少于100份，回收率应不低于80%，群众满意度应≥80%。</w:t>
      </w:r>
    </w:p>
    <w:p>
      <w:pPr>
        <w:pStyle w:val="68"/>
        <w:rPr>
          <w:rFonts w:hAnsi="宋体"/>
          <w:color w:val="auto"/>
          <w:lang w:val="pl-PL"/>
        </w:rPr>
      </w:pPr>
      <w:r>
        <w:rPr>
          <w:rFonts w:hint="eastAsia" w:hAnsi="宋体"/>
          <w:color w:val="auto"/>
        </w:rPr>
        <w:t>餐饮服务单位应</w:t>
      </w:r>
      <w:r>
        <w:rPr>
          <w:rFonts w:hint="eastAsia" w:hAnsi="宋体"/>
          <w:color w:val="auto"/>
          <w:lang w:val="pl-PL"/>
        </w:rPr>
        <w:t>对监督检查、评价过程中发现的问题，应及时调查核实、</w:t>
      </w:r>
      <w:r>
        <w:rPr>
          <w:rFonts w:hint="eastAsia" w:hAnsi="宋体"/>
          <w:color w:val="auto"/>
        </w:rPr>
        <w:t>制定纠正措施、落实整改和</w:t>
      </w:r>
      <w:r>
        <w:rPr>
          <w:rFonts w:hint="eastAsia" w:hAnsi="宋体"/>
          <w:color w:val="auto"/>
          <w:lang w:val="pl-PL"/>
        </w:rPr>
        <w:t>公正处理。</w:t>
      </w:r>
    </w:p>
    <w:p>
      <w:pPr>
        <w:pStyle w:val="68"/>
        <w:rPr>
          <w:rFonts w:hAnsi="宋体"/>
          <w:color w:val="auto"/>
        </w:rPr>
      </w:pPr>
      <w:r>
        <w:rPr>
          <w:rFonts w:hint="eastAsia" w:hAnsi="宋体"/>
          <w:color w:val="auto"/>
        </w:rPr>
        <w:t>应建立投诉处理机制，对接到投诉事件及时核实，并反馈至相餐饮服务单位关部门进行落实、整改。</w:t>
      </w:r>
    </w:p>
    <w:p>
      <w:pPr>
        <w:pStyle w:val="68"/>
        <w:rPr>
          <w:rFonts w:hAnsi="宋体"/>
          <w:color w:val="auto"/>
        </w:rPr>
      </w:pPr>
      <w:r>
        <w:rPr>
          <w:rFonts w:hAnsi="宋体"/>
          <w:color w:val="auto"/>
        </w:rPr>
        <w:t>如实记录</w:t>
      </w:r>
      <w:r>
        <w:rPr>
          <w:rFonts w:hint="eastAsia" w:hAnsi="宋体"/>
          <w:color w:val="auto"/>
        </w:rPr>
        <w:t>监督检查、</w:t>
      </w:r>
      <w:r>
        <w:rPr>
          <w:rFonts w:hAnsi="宋体"/>
          <w:color w:val="auto"/>
        </w:rPr>
        <w:t>公众意见或投诉事项及内容，及时处理和反馈，持续改进。</w:t>
      </w:r>
    </w:p>
    <w:p>
      <w:pPr>
        <w:pStyle w:val="28"/>
        <w:rPr>
          <w:color w:val="auto"/>
        </w:rPr>
      </w:pPr>
    </w:p>
    <w:p>
      <w:pPr>
        <w:pStyle w:val="28"/>
        <w:rPr>
          <w:color w:val="auto"/>
        </w:rPr>
      </w:pPr>
    </w:p>
    <w:p>
      <w:pPr>
        <w:widowControl/>
        <w:jc w:val="left"/>
        <w:rPr>
          <w:rFonts w:ascii="黑体" w:hAnsi="黑体" w:eastAsia="黑体" w:cs="黑体"/>
          <w:color w:val="auto"/>
          <w:spacing w:val="-6"/>
          <w:szCs w:val="21"/>
        </w:rPr>
      </w:pPr>
      <w:r>
        <w:rPr>
          <w:rFonts w:ascii="黑体" w:hAnsi="黑体" w:eastAsia="黑体" w:cs="黑体"/>
          <w:color w:val="auto"/>
          <w:spacing w:val="-6"/>
          <w:szCs w:val="21"/>
        </w:rPr>
        <w:br w:type="page"/>
      </w:r>
    </w:p>
    <w:p>
      <w:pPr>
        <w:tabs>
          <w:tab w:val="left" w:pos="628"/>
        </w:tabs>
        <w:spacing w:before="312" w:beforeLines="100" w:after="312" w:afterLines="100" w:line="360" w:lineRule="auto"/>
        <w:jc w:val="center"/>
        <w:outlineLvl w:val="0"/>
        <w:rPr>
          <w:rFonts w:ascii="黑体" w:hAnsi="黑体" w:eastAsia="黑体" w:cs="黑体"/>
          <w:color w:val="auto"/>
          <w:spacing w:val="-6"/>
          <w:szCs w:val="21"/>
        </w:rPr>
      </w:pPr>
      <w:r>
        <w:rPr>
          <w:rFonts w:hint="eastAsia" w:ascii="黑体" w:hAnsi="黑体" w:eastAsia="黑体" w:cs="黑体"/>
          <w:color w:val="auto"/>
          <w:spacing w:val="-6"/>
          <w:szCs w:val="21"/>
        </w:rPr>
        <w:t xml:space="preserve">参 </w:t>
      </w:r>
      <w:r>
        <w:rPr>
          <w:rFonts w:ascii="黑体" w:hAnsi="黑体" w:eastAsia="黑体" w:cs="黑体"/>
          <w:color w:val="auto"/>
          <w:spacing w:val="-6"/>
          <w:szCs w:val="21"/>
        </w:rPr>
        <w:t xml:space="preserve"> </w:t>
      </w:r>
      <w:r>
        <w:rPr>
          <w:rFonts w:hint="eastAsia" w:ascii="黑体" w:hAnsi="黑体" w:eastAsia="黑体" w:cs="黑体"/>
          <w:color w:val="auto"/>
          <w:spacing w:val="-6"/>
          <w:szCs w:val="21"/>
        </w:rPr>
        <w:t xml:space="preserve">考 </w:t>
      </w:r>
      <w:r>
        <w:rPr>
          <w:rFonts w:ascii="黑体" w:hAnsi="黑体" w:eastAsia="黑体" w:cs="黑体"/>
          <w:color w:val="auto"/>
          <w:spacing w:val="-6"/>
          <w:szCs w:val="21"/>
        </w:rPr>
        <w:t xml:space="preserve"> </w:t>
      </w:r>
      <w:r>
        <w:rPr>
          <w:rFonts w:hint="eastAsia" w:ascii="黑体" w:hAnsi="黑体" w:eastAsia="黑体" w:cs="黑体"/>
          <w:color w:val="auto"/>
          <w:spacing w:val="-6"/>
          <w:szCs w:val="21"/>
        </w:rPr>
        <w:t xml:space="preserve">文 </w:t>
      </w:r>
      <w:r>
        <w:rPr>
          <w:rFonts w:ascii="黑体" w:hAnsi="黑体" w:eastAsia="黑体" w:cs="黑体"/>
          <w:color w:val="auto"/>
          <w:spacing w:val="-6"/>
          <w:szCs w:val="21"/>
        </w:rPr>
        <w:t xml:space="preserve"> </w:t>
      </w:r>
      <w:r>
        <w:rPr>
          <w:rFonts w:hint="eastAsia" w:ascii="黑体" w:hAnsi="黑体" w:eastAsia="黑体" w:cs="黑体"/>
          <w:color w:val="auto"/>
          <w:spacing w:val="-6"/>
          <w:szCs w:val="21"/>
        </w:rPr>
        <w:t>献</w:t>
      </w:r>
    </w:p>
    <w:p>
      <w:pPr>
        <w:numPr>
          <w:ilvl w:val="0"/>
          <w:numId w:val="18"/>
        </w:numPr>
        <w:tabs>
          <w:tab w:val="left" w:pos="628"/>
        </w:tabs>
        <w:ind w:firstLine="396" w:firstLineChars="200"/>
        <w:jc w:val="left"/>
        <w:rPr>
          <w:rFonts w:ascii="宋体" w:hAnsi="宋体" w:cs="宋体"/>
          <w:color w:val="auto"/>
          <w:spacing w:val="-6"/>
          <w:szCs w:val="21"/>
        </w:rPr>
      </w:pPr>
      <w:r>
        <w:rPr>
          <w:rFonts w:hint="eastAsia" w:ascii="宋体" w:hAnsi="宋体" w:cs="宋体"/>
          <w:color w:val="auto"/>
          <w:spacing w:val="-6"/>
          <w:szCs w:val="21"/>
        </w:rPr>
        <w:t>《中华人民共和国食品安全法》</w:t>
      </w:r>
    </w:p>
    <w:p>
      <w:pPr>
        <w:numPr>
          <w:ilvl w:val="0"/>
          <w:numId w:val="18"/>
        </w:numPr>
        <w:tabs>
          <w:tab w:val="left" w:pos="628"/>
        </w:tabs>
        <w:ind w:firstLine="396" w:firstLineChars="200"/>
        <w:jc w:val="left"/>
        <w:rPr>
          <w:rFonts w:ascii="宋体" w:hAnsi="宋体" w:cs="宋体"/>
          <w:color w:val="auto"/>
          <w:spacing w:val="-6"/>
          <w:szCs w:val="21"/>
        </w:rPr>
      </w:pPr>
      <w:r>
        <w:rPr>
          <w:rFonts w:hint="eastAsia" w:ascii="宋体" w:hAnsi="宋体" w:cs="宋体"/>
          <w:color w:val="auto"/>
          <w:spacing w:val="-6"/>
          <w:szCs w:val="21"/>
        </w:rPr>
        <w:t>《中华人民共和国反食品浪费法》</w:t>
      </w:r>
    </w:p>
    <w:p>
      <w:pPr>
        <w:numPr>
          <w:ilvl w:val="0"/>
          <w:numId w:val="18"/>
        </w:numPr>
        <w:tabs>
          <w:tab w:val="left" w:pos="628"/>
        </w:tabs>
        <w:ind w:firstLine="396" w:firstLineChars="200"/>
        <w:jc w:val="left"/>
        <w:rPr>
          <w:rFonts w:ascii="宋体" w:hAnsi="宋体" w:cs="宋体"/>
          <w:color w:val="auto"/>
          <w:spacing w:val="-6"/>
          <w:szCs w:val="21"/>
        </w:rPr>
      </w:pPr>
      <w:r>
        <w:rPr>
          <w:rFonts w:hint="eastAsia" w:ascii="宋体" w:hAnsi="宋体" w:cs="宋体"/>
          <w:color w:val="auto"/>
          <w:spacing w:val="-6"/>
          <w:szCs w:val="21"/>
        </w:rPr>
        <w:t>《中国居民膳食指南（2022）》</w:t>
      </w:r>
    </w:p>
    <w:p>
      <w:pPr>
        <w:tabs>
          <w:tab w:val="left" w:pos="628"/>
        </w:tabs>
        <w:spacing w:line="360" w:lineRule="auto"/>
        <w:jc w:val="left"/>
        <w:rPr>
          <w:rFonts w:ascii="宋体" w:hAnsi="宋体" w:cs="宋体"/>
          <w:color w:val="auto"/>
          <w:spacing w:val="-6"/>
          <w:szCs w:val="21"/>
        </w:rPr>
      </w:pPr>
    </w:p>
    <w:p>
      <w:pPr>
        <w:widowControl/>
        <w:jc w:val="center"/>
        <w:rPr>
          <w:color w:val="auto"/>
        </w:rPr>
      </w:pPr>
      <w:r>
        <w:rPr>
          <w:rFonts w:hint="eastAsia"/>
          <w:color w:val="auto"/>
        </w:rPr>
        <w:drawing>
          <wp:inline distT="0" distB="0" distL="114300" distR="114300">
            <wp:extent cx="1485900" cy="317500"/>
            <wp:effectExtent l="0" t="0" r="0" b="6350"/>
            <wp:docPr id="6" name="图片 2" descr="EndLine"/>
            <wp:cNvGraphicFramePr/>
            <a:graphic xmlns:a="http://schemas.openxmlformats.org/drawingml/2006/main">
              <a:graphicData uri="http://schemas.openxmlformats.org/drawingml/2006/picture">
                <pic:pic xmlns:pic="http://schemas.openxmlformats.org/drawingml/2006/picture">
                  <pic:nvPicPr>
                    <pic:cNvPr id="6" name="图片 2" descr="EndLine"/>
                    <pic:cNvPicPr/>
                  </pic:nvPicPr>
                  <pic:blipFill>
                    <a:blip r:embed="rId13"/>
                    <a:stretch>
                      <a:fillRect/>
                    </a:stretch>
                  </pic:blipFill>
                  <pic:spPr>
                    <a:xfrm>
                      <a:off x="0" y="0"/>
                      <a:ext cx="1485900" cy="317500"/>
                    </a:xfrm>
                    <a:prstGeom prst="rect">
                      <a:avLst/>
                    </a:prstGeom>
                    <a:noFill/>
                    <a:ln>
                      <a:noFill/>
                    </a:ln>
                  </pic:spPr>
                </pic:pic>
              </a:graphicData>
            </a:graphic>
          </wp:inline>
        </w:drawing>
      </w:r>
    </w:p>
    <w:sectPr>
      <w:footerReference r:id="rId10" w:type="default"/>
      <w:pgSz w:w="11906" w:h="16838"/>
      <w:pgMar w:top="567" w:right="1134" w:bottom="1134" w:left="1418" w:header="1418" w:footer="1134" w:gutter="0"/>
      <w:pgNumType w:fmt="decimal"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Mincho">
    <w:altName w:val="Yu Gothic"/>
    <w:panose1 w:val="02020609040205080304"/>
    <w:charset w:val="80"/>
    <w:family w:val="roman"/>
    <w:pitch w:val="default"/>
    <w:sig w:usb0="00000000" w:usb1="00000000" w:usb2="00000010" w:usb3="00000000" w:csb0="00020000" w:csb1="00000000"/>
  </w:font>
  <w:font w:name="hakuyocaoshu7000">
    <w:altName w:val="宋体"/>
    <w:panose1 w:val="02000600000000000000"/>
    <w:charset w:val="86"/>
    <w:family w:val="auto"/>
    <w:pitch w:val="default"/>
    <w:sig w:usb0="00000000" w:usb1="00000000" w:usb2="0000003F" w:usb3="00000000" w:csb0="003F00F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hint="eastAsia" w:ascii="宋体" w:hAnsi="宋体"/>
      </w:rPr>
    </w:pPr>
    <w:r>
      <w:rPr>
        <w:rFonts w:ascii="宋体" w:hAnsi="宋体"/>
      </w:rPr>
      <w:fldChar w:fldCharType="begin"/>
    </w:r>
    <w:r>
      <w:rPr>
        <w:rStyle w:val="43"/>
        <w:rFonts w:ascii="宋体" w:hAnsi="宋体"/>
      </w:rPr>
      <w:instrText xml:space="preserve"> PAGE </w:instrText>
    </w:r>
    <w:r>
      <w:rPr>
        <w:rFonts w:ascii="宋体" w:hAnsi="宋体"/>
      </w:rPr>
      <w:fldChar w:fldCharType="separate"/>
    </w:r>
    <w:r>
      <w:rPr>
        <w:rStyle w:val="43"/>
        <w:rFonts w:ascii="宋体" w:hAnsi="宋体"/>
      </w:rPr>
      <w:t>II</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5"/>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I</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5"/>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I</w:t>
                    </w:r>
                    <w:r>
                      <w:rPr>
                        <w:rFonts w:asci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5"/>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I</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5"/>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I</w:t>
                    </w:r>
                    <w:r>
                      <w:rPr>
                        <w:rFonts w:asci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5"/>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I</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5"/>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I</w:t>
                    </w:r>
                    <w:r>
                      <w:rPr>
                        <w:rFonts w:asci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220"/>
      <w:rPr>
        <w:rFonts w:hint="eastAsia" w:ascii="黑体" w:hAnsi="黑体" w:eastAsia="黑体" w:cs="黑体"/>
        <w:sz w:val="21"/>
        <w:szCs w:val="21"/>
      </w:rPr>
    </w:pPr>
    <w:r>
      <w:rPr>
        <w:rFonts w:hint="eastAsia" w:ascii="黑体" w:hAnsi="黑体" w:eastAsia="黑体" w:cs="黑体"/>
        <w:sz w:val="21"/>
        <w:szCs w:val="21"/>
      </w:rPr>
      <w:t>DB4420/TXXX—20</w:t>
    </w:r>
    <w:r>
      <w:rPr>
        <w:rFonts w:hint="eastAsia" w:ascii="黑体" w:hAnsi="黑体" w:eastAsia="黑体" w:cs="黑体"/>
        <w:sz w:val="21"/>
        <w:szCs w:val="21"/>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6" name="矩形 1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5g8svW&#10;AAAACAEAAA8AAAAAAAAAAQAgAAAAIgAAAGRycy9kb3ducmV2LnhtbFBLAQIUABQAAAAIAIdO4kB0&#10;AQSDsAEAAGEDAAAOAAAAAAAAAAEAIAAAACUBAABkcnMvZTJvRG9jLnhtbFBLBQYAAAAABgAGAFkB&#10;AABHBQAAAAA=&#10;">
              <v:fill on="t" focussize="0,0"/>
              <v:stroke on="f"/>
              <v:imagedata o:title=""/>
              <o:lock v:ext="edit" aspectratio="f"/>
            </v:rect>
          </w:pict>
        </mc:Fallback>
      </mc:AlternateContent>
    </w:r>
    <w:r>
      <w:rPr>
        <w:rFonts w:hint="eastAsia" w:ascii="黑体" w:hAnsi="黑体" w:eastAsia="黑体" w:cs="黑体"/>
        <w:sz w:val="21"/>
        <w:szCs w:val="21"/>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rFonts w:hint="default" w:hAnsi="黑体" w:eastAsia="黑体"/>
        <w:lang w:val="en-US" w:eastAsia="zh-CN"/>
      </w:rPr>
    </w:pPr>
    <w:r>
      <w:rPr>
        <w:rFonts w:hint="eastAsia" w:hAnsi="黑体"/>
        <w:lang w:val="en-US" w:eastAsia="zh-CN"/>
      </w:rPr>
      <w:t>XX</w:t>
    </w:r>
    <w:r>
      <w:rPr>
        <w:rFonts w:hint="eastAsia" w:hAnsi="黑体"/>
      </w:rPr>
      <w:t>/</w:t>
    </w:r>
    <w:r>
      <w:rPr>
        <w:rFonts w:hint="eastAsia" w:hAnsi="黑体"/>
        <w:lang w:val="en-US" w:eastAsia="zh-CN"/>
      </w:rPr>
      <w:t>XX</w:t>
    </w:r>
    <w:r>
      <w:rPr>
        <w:rFonts w:hint="eastAsia" w:hAnsi="黑体"/>
      </w:rPr>
      <w:t xml:space="preserve"> </w:t>
    </w:r>
    <w:r>
      <w:rPr>
        <w:rFonts w:hint="eastAsia" w:hAnsi="黑体"/>
        <w:lang w:val="en-US" w:eastAsia="zh-CN"/>
      </w:rPr>
      <w:t>XXXX</w:t>
    </w:r>
    <w:r>
      <w:rPr>
        <w:rFonts w:hAnsi="黑体"/>
      </w:rPr>
      <w:t>—</w:t>
    </w:r>
    <w:r>
      <w:rPr>
        <w:rFonts w:hint="eastAsia" w:hAnsi="黑体"/>
        <w:lang w:val="en-US"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220"/>
      <w:rPr>
        <w:rFonts w:hint="default" w:ascii="黑体" w:hAnsi="黑体" w:eastAsia="宋体"/>
        <w:sz w:val="21"/>
        <w:szCs w:val="21"/>
        <w:lang w:val="en-US" w:eastAsia="zh-CN"/>
      </w:rPr>
    </w:pPr>
    <w:r>
      <w:rPr>
        <w:rFonts w:hint="eastAsia" w:ascii="黑体" w:hAnsi="黑体" w:eastAsia="黑体"/>
        <w:sz w:val="21"/>
        <w:szCs w:val="21"/>
        <w:lang w:val="en-US" w:eastAsia="zh-CN"/>
      </w:rPr>
      <w:t>XX/XX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2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6F53A1D"/>
    <w:multiLevelType w:val="singleLevel"/>
    <w:tmpl w:val="16F53A1D"/>
    <w:lvl w:ilvl="0" w:tentative="0">
      <w:start w:val="1"/>
      <w:numFmt w:val="decimal"/>
      <w:suff w:val="space"/>
      <w:lvlText w:val="[%1]"/>
      <w:lvlJc w:val="left"/>
    </w:lvl>
  </w:abstractNum>
  <w:abstractNum w:abstractNumId="5">
    <w:nsid w:val="1DBF583A"/>
    <w:multiLevelType w:val="multilevel"/>
    <w:tmpl w:val="1DBF583A"/>
    <w:lvl w:ilvl="0" w:tentative="0">
      <w:start w:val="1"/>
      <w:numFmt w:val="decimal"/>
      <w:pStyle w:val="13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111"/>
      <w:suff w:val="nothing"/>
      <w:lvlText w:val="%1　"/>
      <w:lvlJc w:val="left"/>
      <w:pPr>
        <w:ind w:left="210" w:firstLine="0"/>
      </w:pPr>
      <w:rPr>
        <w:rFonts w:hint="default" w:ascii="黑体" w:hAnsi="Times New Roman" w:eastAsia="黑体"/>
        <w:b w:val="0"/>
        <w:bCs w:val="0"/>
        <w:i w:val="0"/>
        <w:sz w:val="21"/>
        <w:szCs w:val="21"/>
      </w:rPr>
    </w:lvl>
    <w:lvl w:ilvl="1" w:tentative="0">
      <w:start w:val="1"/>
      <w:numFmt w:val="decimal"/>
      <w:pStyle w:val="61"/>
      <w:suff w:val="nothing"/>
      <w:lvlText w:val="%1.%2　"/>
      <w:lvlJc w:val="left"/>
      <w:pPr>
        <w:ind w:left="1132" w:firstLine="0"/>
      </w:pPr>
      <w:rPr>
        <w:rFonts w:ascii="黑体" w:hAnsi="黑体" w:eastAsia="黑体"/>
      </w:rPr>
    </w:lvl>
    <w:lvl w:ilvl="2" w:tentative="0">
      <w:start w:val="1"/>
      <w:numFmt w:val="decimal"/>
      <w:pStyle w:val="69"/>
      <w:suff w:val="nothing"/>
      <w:lvlText w:val="%1.%2.%3　"/>
      <w:lvlJc w:val="left"/>
      <w:pPr>
        <w:ind w:left="0" w:firstLine="0"/>
      </w:pPr>
      <w:rPr>
        <w:rFonts w:hint="default" w:ascii="黑体" w:hAnsi="黑体" w:eastAsia="黑体"/>
        <w:b w:val="0"/>
        <w:i w:val="0"/>
        <w:color w:val="auto"/>
        <w:sz w:val="21"/>
      </w:rPr>
    </w:lvl>
    <w:lvl w:ilvl="3" w:tentative="0">
      <w:start w:val="1"/>
      <w:numFmt w:val="decimal"/>
      <w:pStyle w:val="89"/>
      <w:suff w:val="nothing"/>
      <w:lvlText w:val="%1.%2.%3.%4　"/>
      <w:lvlJc w:val="left"/>
      <w:pPr>
        <w:ind w:left="993" w:firstLine="0"/>
      </w:pPr>
      <w:rPr>
        <w:rFonts w:hint="eastAsia" w:ascii="黑体" w:hAnsi="黑体"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46"/>
      <w:suff w:val="space"/>
      <w:lvlText w:val="%1"/>
      <w:lvlJc w:val="left"/>
      <w:pPr>
        <w:ind w:left="623" w:hanging="425"/>
      </w:pPr>
      <w:rPr>
        <w:rFonts w:hint="eastAsia"/>
      </w:rPr>
    </w:lvl>
    <w:lvl w:ilvl="1" w:tentative="0">
      <w:start w:val="1"/>
      <w:numFmt w:val="decimal"/>
      <w:pStyle w:val="12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121"/>
      <w:suff w:val="nothing"/>
      <w:lvlText w:val="%1——"/>
      <w:lvlJc w:val="left"/>
      <w:pPr>
        <w:ind w:left="833" w:hanging="408"/>
      </w:pPr>
      <w:rPr>
        <w:rFonts w:hint="eastAsia"/>
      </w:rPr>
    </w:lvl>
    <w:lvl w:ilvl="1" w:tentative="0">
      <w:start w:val="1"/>
      <w:numFmt w:val="bullet"/>
      <w:pStyle w:val="116"/>
      <w:lvlText w:val=""/>
      <w:lvlJc w:val="left"/>
      <w:pPr>
        <w:tabs>
          <w:tab w:val="left" w:pos="760"/>
        </w:tabs>
        <w:ind w:left="1264" w:hanging="413"/>
      </w:pPr>
      <w:rPr>
        <w:rFonts w:hint="default" w:ascii="Symbol" w:hAnsi="Symbol"/>
        <w:color w:val="auto"/>
      </w:rPr>
    </w:lvl>
    <w:lvl w:ilvl="2" w:tentative="0">
      <w:start w:val="1"/>
      <w:numFmt w:val="bullet"/>
      <w:pStyle w:val="15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4671B94"/>
    <w:multiLevelType w:val="multilevel"/>
    <w:tmpl w:val="34671B94"/>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4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145"/>
      <w:suff w:val="nothing"/>
      <w:lvlText w:val="示例%1："/>
      <w:lvlJc w:val="left"/>
      <w:pPr>
        <w:ind w:left="-48"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48" w:firstLine="0"/>
      </w:pPr>
      <w:rPr>
        <w:rFonts w:hint="eastAsia"/>
        <w:vertAlign w:val="baseline"/>
      </w:rPr>
    </w:lvl>
    <w:lvl w:ilvl="2" w:tentative="0">
      <w:start w:val="1"/>
      <w:numFmt w:val="decimal"/>
      <w:suff w:val="space"/>
      <w:lvlText w:val="2.2.%3"/>
      <w:lvlJc w:val="left"/>
      <w:pPr>
        <w:ind w:left="-48" w:firstLine="0"/>
      </w:pPr>
      <w:rPr>
        <w:rFonts w:hint="eastAsia"/>
        <w:vertAlign w:val="baseline"/>
      </w:rPr>
    </w:lvl>
    <w:lvl w:ilvl="3" w:tentative="0">
      <w:start w:val="1"/>
      <w:numFmt w:val="decimal"/>
      <w:lvlText w:val="%4."/>
      <w:lvlJc w:val="left"/>
      <w:pPr>
        <w:tabs>
          <w:tab w:val="left" w:pos="-48"/>
        </w:tabs>
        <w:ind w:left="944" w:hanging="629"/>
      </w:pPr>
      <w:rPr>
        <w:rFonts w:hint="eastAsia"/>
        <w:vertAlign w:val="baseline"/>
      </w:rPr>
    </w:lvl>
    <w:lvl w:ilvl="4" w:tentative="0">
      <w:start w:val="1"/>
      <w:numFmt w:val="lowerLetter"/>
      <w:lvlText w:val="%5)"/>
      <w:lvlJc w:val="left"/>
      <w:pPr>
        <w:tabs>
          <w:tab w:val="left" w:pos="-48"/>
        </w:tabs>
        <w:ind w:left="944" w:hanging="629"/>
      </w:pPr>
      <w:rPr>
        <w:rFonts w:hint="eastAsia"/>
        <w:vertAlign w:val="baseline"/>
      </w:rPr>
    </w:lvl>
    <w:lvl w:ilvl="5" w:tentative="0">
      <w:start w:val="1"/>
      <w:numFmt w:val="lowerRoman"/>
      <w:lvlText w:val="%6."/>
      <w:lvlJc w:val="right"/>
      <w:pPr>
        <w:tabs>
          <w:tab w:val="left" w:pos="-48"/>
        </w:tabs>
        <w:ind w:left="944" w:hanging="629"/>
      </w:pPr>
      <w:rPr>
        <w:rFonts w:hint="eastAsia"/>
        <w:vertAlign w:val="baseline"/>
      </w:rPr>
    </w:lvl>
    <w:lvl w:ilvl="6" w:tentative="0">
      <w:start w:val="1"/>
      <w:numFmt w:val="decimal"/>
      <w:lvlText w:val="%7."/>
      <w:lvlJc w:val="left"/>
      <w:pPr>
        <w:tabs>
          <w:tab w:val="left" w:pos="-48"/>
        </w:tabs>
        <w:ind w:left="944" w:hanging="629"/>
      </w:pPr>
      <w:rPr>
        <w:rFonts w:hint="eastAsia"/>
        <w:vertAlign w:val="baseline"/>
      </w:rPr>
    </w:lvl>
    <w:lvl w:ilvl="7" w:tentative="0">
      <w:start w:val="1"/>
      <w:numFmt w:val="lowerLetter"/>
      <w:lvlText w:val="%8)"/>
      <w:lvlJc w:val="left"/>
      <w:pPr>
        <w:tabs>
          <w:tab w:val="left" w:pos="-48"/>
        </w:tabs>
        <w:ind w:left="944" w:hanging="629"/>
      </w:pPr>
      <w:rPr>
        <w:rFonts w:hint="eastAsia"/>
        <w:vertAlign w:val="baseline"/>
      </w:rPr>
    </w:lvl>
    <w:lvl w:ilvl="8" w:tentative="0">
      <w:start w:val="1"/>
      <w:numFmt w:val="lowerRoman"/>
      <w:lvlText w:val="%9."/>
      <w:lvlJc w:val="right"/>
      <w:pPr>
        <w:tabs>
          <w:tab w:val="left" w:pos="-48"/>
        </w:tabs>
        <w:ind w:left="944" w:hanging="629"/>
      </w:pPr>
      <w:rPr>
        <w:rFonts w:hint="eastAsia"/>
        <w:vertAlign w:val="baseline"/>
      </w:rPr>
    </w:lvl>
  </w:abstractNum>
  <w:abstractNum w:abstractNumId="12">
    <w:nsid w:val="557C2AF5"/>
    <w:multiLevelType w:val="multilevel"/>
    <w:tmpl w:val="557C2AF5"/>
    <w:lvl w:ilvl="0" w:tentative="0">
      <w:start w:val="1"/>
      <w:numFmt w:val="decimal"/>
      <w:pStyle w:val="14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134"/>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6"/>
      <w:suff w:val="nothing"/>
      <w:lvlText w:val="附　录　%1"/>
      <w:lvlJc w:val="left"/>
      <w:pPr>
        <w:ind w:left="5246"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1"/>
      <w:suff w:val="nothing"/>
      <w:lvlText w:val="%1.%2.%3　"/>
      <w:lvlJc w:val="left"/>
      <w:pPr>
        <w:ind w:left="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3"/>
      <w:suff w:val="nothing"/>
      <w:lvlText w:val="%1.%2.%3.%4.%5.%6　"/>
      <w:lvlJc w:val="left"/>
      <w:pPr>
        <w:ind w:left="0" w:firstLine="0"/>
      </w:pPr>
      <w:rPr>
        <w:rFonts w:hint="eastAsia" w:ascii="黑体" w:hAnsi="Times New Roman" w:eastAsia="黑体"/>
        <w:b w:val="0"/>
        <w:i w:val="0"/>
        <w:sz w:val="21"/>
      </w:rPr>
    </w:lvl>
    <w:lvl w:ilvl="6" w:tentative="0">
      <w:start w:val="1"/>
      <w:numFmt w:val="decimal"/>
      <w:pStyle w:val="9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9"/>
  </w:num>
  <w:num w:numId="3">
    <w:abstractNumId w:val="6"/>
  </w:num>
  <w:num w:numId="4">
    <w:abstractNumId w:val="17"/>
  </w:num>
  <w:num w:numId="5">
    <w:abstractNumId w:val="1"/>
  </w:num>
  <w:num w:numId="6">
    <w:abstractNumId w:val="15"/>
  </w:num>
  <w:num w:numId="7">
    <w:abstractNumId w:val="13"/>
  </w:num>
  <w:num w:numId="8">
    <w:abstractNumId w:val="16"/>
  </w:num>
  <w:num w:numId="9">
    <w:abstractNumId w:val="8"/>
  </w:num>
  <w:num w:numId="10">
    <w:abstractNumId w:val="7"/>
  </w:num>
  <w:num w:numId="11">
    <w:abstractNumId w:val="0"/>
  </w:num>
  <w:num w:numId="12">
    <w:abstractNumId w:val="5"/>
  </w:num>
  <w:num w:numId="13">
    <w:abstractNumId w:val="12"/>
  </w:num>
  <w:num w:numId="14">
    <w:abstractNumId w:val="11"/>
  </w:num>
  <w:num w:numId="15">
    <w:abstractNumId w:val="2"/>
  </w:num>
  <w:num w:numId="16">
    <w:abstractNumId w:val="3"/>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mMmQ3YjYxOTk1OTMwMjRjNzhkODZkZjc1ZjYwNGEifQ=="/>
  </w:docVars>
  <w:rsids>
    <w:rsidRoot w:val="00172A27"/>
    <w:rsid w:val="00000244"/>
    <w:rsid w:val="00000C1C"/>
    <w:rsid w:val="0000185F"/>
    <w:rsid w:val="0000586F"/>
    <w:rsid w:val="00005A2F"/>
    <w:rsid w:val="0000722E"/>
    <w:rsid w:val="00007278"/>
    <w:rsid w:val="00010A86"/>
    <w:rsid w:val="00010DB4"/>
    <w:rsid w:val="00012821"/>
    <w:rsid w:val="00013D86"/>
    <w:rsid w:val="00013E02"/>
    <w:rsid w:val="000175EC"/>
    <w:rsid w:val="00017E60"/>
    <w:rsid w:val="0002143C"/>
    <w:rsid w:val="00021FB3"/>
    <w:rsid w:val="000237F8"/>
    <w:rsid w:val="000241EC"/>
    <w:rsid w:val="00025A65"/>
    <w:rsid w:val="00026C31"/>
    <w:rsid w:val="00027280"/>
    <w:rsid w:val="00030AE8"/>
    <w:rsid w:val="000320A7"/>
    <w:rsid w:val="000321FD"/>
    <w:rsid w:val="0003335E"/>
    <w:rsid w:val="00033B62"/>
    <w:rsid w:val="00033FBB"/>
    <w:rsid w:val="00034117"/>
    <w:rsid w:val="00035925"/>
    <w:rsid w:val="00036DFB"/>
    <w:rsid w:val="00037612"/>
    <w:rsid w:val="00040014"/>
    <w:rsid w:val="00042C05"/>
    <w:rsid w:val="000475FC"/>
    <w:rsid w:val="00047FEA"/>
    <w:rsid w:val="00050AAB"/>
    <w:rsid w:val="000520FE"/>
    <w:rsid w:val="00052F06"/>
    <w:rsid w:val="0005426B"/>
    <w:rsid w:val="0005528C"/>
    <w:rsid w:val="00055441"/>
    <w:rsid w:val="000558EF"/>
    <w:rsid w:val="0006035A"/>
    <w:rsid w:val="00060ECF"/>
    <w:rsid w:val="000629D3"/>
    <w:rsid w:val="00066061"/>
    <w:rsid w:val="00066E9D"/>
    <w:rsid w:val="00067CDF"/>
    <w:rsid w:val="000735FD"/>
    <w:rsid w:val="00074FBE"/>
    <w:rsid w:val="00076E8D"/>
    <w:rsid w:val="000775F8"/>
    <w:rsid w:val="00081EE9"/>
    <w:rsid w:val="00083A09"/>
    <w:rsid w:val="0008510E"/>
    <w:rsid w:val="00085445"/>
    <w:rsid w:val="000867EF"/>
    <w:rsid w:val="0009005E"/>
    <w:rsid w:val="00092857"/>
    <w:rsid w:val="000929B2"/>
    <w:rsid w:val="00092C83"/>
    <w:rsid w:val="00094029"/>
    <w:rsid w:val="000947B0"/>
    <w:rsid w:val="00094935"/>
    <w:rsid w:val="000949E6"/>
    <w:rsid w:val="00094AC3"/>
    <w:rsid w:val="00096298"/>
    <w:rsid w:val="0009723E"/>
    <w:rsid w:val="000A20A9"/>
    <w:rsid w:val="000A48B1"/>
    <w:rsid w:val="000B18B4"/>
    <w:rsid w:val="000B2CF1"/>
    <w:rsid w:val="000B3143"/>
    <w:rsid w:val="000B39E4"/>
    <w:rsid w:val="000B6726"/>
    <w:rsid w:val="000C1C2A"/>
    <w:rsid w:val="000C404E"/>
    <w:rsid w:val="000C4497"/>
    <w:rsid w:val="000C5F08"/>
    <w:rsid w:val="000C657F"/>
    <w:rsid w:val="000C6B05"/>
    <w:rsid w:val="000C6DD6"/>
    <w:rsid w:val="000C7029"/>
    <w:rsid w:val="000C73D4"/>
    <w:rsid w:val="000D0689"/>
    <w:rsid w:val="000D21CC"/>
    <w:rsid w:val="000D2513"/>
    <w:rsid w:val="000D369D"/>
    <w:rsid w:val="000D3D4C"/>
    <w:rsid w:val="000D4E44"/>
    <w:rsid w:val="000D4F51"/>
    <w:rsid w:val="000D718B"/>
    <w:rsid w:val="000E033D"/>
    <w:rsid w:val="000E0C46"/>
    <w:rsid w:val="000E4E1F"/>
    <w:rsid w:val="000E5193"/>
    <w:rsid w:val="000F030C"/>
    <w:rsid w:val="000F08CE"/>
    <w:rsid w:val="000F0B56"/>
    <w:rsid w:val="000F129C"/>
    <w:rsid w:val="000F25B9"/>
    <w:rsid w:val="000F35FE"/>
    <w:rsid w:val="000F52E7"/>
    <w:rsid w:val="000F5C22"/>
    <w:rsid w:val="000F5EC1"/>
    <w:rsid w:val="000F5FEA"/>
    <w:rsid w:val="000F6682"/>
    <w:rsid w:val="000F716E"/>
    <w:rsid w:val="001056DE"/>
    <w:rsid w:val="00105B79"/>
    <w:rsid w:val="00107E7D"/>
    <w:rsid w:val="00110E0B"/>
    <w:rsid w:val="00111D5D"/>
    <w:rsid w:val="001124C0"/>
    <w:rsid w:val="00113D42"/>
    <w:rsid w:val="00115403"/>
    <w:rsid w:val="00115B15"/>
    <w:rsid w:val="00115F8F"/>
    <w:rsid w:val="00121649"/>
    <w:rsid w:val="00121B54"/>
    <w:rsid w:val="0012394F"/>
    <w:rsid w:val="00123AAE"/>
    <w:rsid w:val="00123BC9"/>
    <w:rsid w:val="0012425D"/>
    <w:rsid w:val="00125B29"/>
    <w:rsid w:val="001260C3"/>
    <w:rsid w:val="0013175F"/>
    <w:rsid w:val="00132A81"/>
    <w:rsid w:val="0013581E"/>
    <w:rsid w:val="00137D02"/>
    <w:rsid w:val="00141232"/>
    <w:rsid w:val="0014381E"/>
    <w:rsid w:val="00144194"/>
    <w:rsid w:val="00144D91"/>
    <w:rsid w:val="00145B9F"/>
    <w:rsid w:val="00145C05"/>
    <w:rsid w:val="0014616F"/>
    <w:rsid w:val="00147535"/>
    <w:rsid w:val="00147FE1"/>
    <w:rsid w:val="001510AA"/>
    <w:rsid w:val="001512B4"/>
    <w:rsid w:val="0015606B"/>
    <w:rsid w:val="00156982"/>
    <w:rsid w:val="00161B87"/>
    <w:rsid w:val="001620A5"/>
    <w:rsid w:val="0016227C"/>
    <w:rsid w:val="001622D2"/>
    <w:rsid w:val="00162EF7"/>
    <w:rsid w:val="00164E53"/>
    <w:rsid w:val="00164EF7"/>
    <w:rsid w:val="0016699D"/>
    <w:rsid w:val="001671B0"/>
    <w:rsid w:val="00170FAE"/>
    <w:rsid w:val="00172A27"/>
    <w:rsid w:val="00172EB3"/>
    <w:rsid w:val="0017418C"/>
    <w:rsid w:val="00175159"/>
    <w:rsid w:val="00176208"/>
    <w:rsid w:val="001774E5"/>
    <w:rsid w:val="00177C89"/>
    <w:rsid w:val="00177CB5"/>
    <w:rsid w:val="00180F8A"/>
    <w:rsid w:val="0018211B"/>
    <w:rsid w:val="001840D3"/>
    <w:rsid w:val="00184393"/>
    <w:rsid w:val="00186ED6"/>
    <w:rsid w:val="00187232"/>
    <w:rsid w:val="001900F8"/>
    <w:rsid w:val="00191258"/>
    <w:rsid w:val="001913B0"/>
    <w:rsid w:val="00192680"/>
    <w:rsid w:val="00193037"/>
    <w:rsid w:val="00193A2C"/>
    <w:rsid w:val="0019478E"/>
    <w:rsid w:val="00196ADB"/>
    <w:rsid w:val="00196E97"/>
    <w:rsid w:val="0019785A"/>
    <w:rsid w:val="001A288E"/>
    <w:rsid w:val="001A3F9E"/>
    <w:rsid w:val="001A4F1E"/>
    <w:rsid w:val="001A577F"/>
    <w:rsid w:val="001B31C4"/>
    <w:rsid w:val="001B4995"/>
    <w:rsid w:val="001B4A11"/>
    <w:rsid w:val="001B58C2"/>
    <w:rsid w:val="001B6663"/>
    <w:rsid w:val="001B6DC2"/>
    <w:rsid w:val="001C01AA"/>
    <w:rsid w:val="001C149C"/>
    <w:rsid w:val="001C1B8F"/>
    <w:rsid w:val="001C21AC"/>
    <w:rsid w:val="001C223F"/>
    <w:rsid w:val="001C2C81"/>
    <w:rsid w:val="001C3B92"/>
    <w:rsid w:val="001C47BA"/>
    <w:rsid w:val="001C59EA"/>
    <w:rsid w:val="001C79D4"/>
    <w:rsid w:val="001D07CC"/>
    <w:rsid w:val="001D24C3"/>
    <w:rsid w:val="001D3698"/>
    <w:rsid w:val="001D3EC6"/>
    <w:rsid w:val="001D406C"/>
    <w:rsid w:val="001D41EE"/>
    <w:rsid w:val="001D5E9D"/>
    <w:rsid w:val="001D5F06"/>
    <w:rsid w:val="001D6D1B"/>
    <w:rsid w:val="001E0380"/>
    <w:rsid w:val="001E13B1"/>
    <w:rsid w:val="001E1F7D"/>
    <w:rsid w:val="001E2AD6"/>
    <w:rsid w:val="001E2AEA"/>
    <w:rsid w:val="001E785C"/>
    <w:rsid w:val="001F08A7"/>
    <w:rsid w:val="001F1B7B"/>
    <w:rsid w:val="001F2735"/>
    <w:rsid w:val="001F2A84"/>
    <w:rsid w:val="001F3A19"/>
    <w:rsid w:val="001F3D7D"/>
    <w:rsid w:val="001F46A6"/>
    <w:rsid w:val="001F4A86"/>
    <w:rsid w:val="001F4DC2"/>
    <w:rsid w:val="001F66FA"/>
    <w:rsid w:val="001F70A8"/>
    <w:rsid w:val="00200F56"/>
    <w:rsid w:val="0020105F"/>
    <w:rsid w:val="00203A8A"/>
    <w:rsid w:val="0020582A"/>
    <w:rsid w:val="00205940"/>
    <w:rsid w:val="002072CA"/>
    <w:rsid w:val="00207DEA"/>
    <w:rsid w:val="00211C07"/>
    <w:rsid w:val="00212254"/>
    <w:rsid w:val="002130A2"/>
    <w:rsid w:val="00213FB9"/>
    <w:rsid w:val="00214504"/>
    <w:rsid w:val="00214756"/>
    <w:rsid w:val="00215730"/>
    <w:rsid w:val="00216604"/>
    <w:rsid w:val="00217D3A"/>
    <w:rsid w:val="00221E50"/>
    <w:rsid w:val="00223BBC"/>
    <w:rsid w:val="00225E58"/>
    <w:rsid w:val="00226427"/>
    <w:rsid w:val="0022669A"/>
    <w:rsid w:val="00233542"/>
    <w:rsid w:val="00234467"/>
    <w:rsid w:val="00236162"/>
    <w:rsid w:val="00236F6B"/>
    <w:rsid w:val="00237D8D"/>
    <w:rsid w:val="00241DA2"/>
    <w:rsid w:val="00243A13"/>
    <w:rsid w:val="00243C11"/>
    <w:rsid w:val="002445BA"/>
    <w:rsid w:val="00245FB1"/>
    <w:rsid w:val="00247FEE"/>
    <w:rsid w:val="00250E7D"/>
    <w:rsid w:val="00253D58"/>
    <w:rsid w:val="00256093"/>
    <w:rsid w:val="002565D5"/>
    <w:rsid w:val="002568E8"/>
    <w:rsid w:val="00261A14"/>
    <w:rsid w:val="00261D27"/>
    <w:rsid w:val="002622C0"/>
    <w:rsid w:val="0026475E"/>
    <w:rsid w:val="002678B4"/>
    <w:rsid w:val="00267AF6"/>
    <w:rsid w:val="002709AB"/>
    <w:rsid w:val="0027495F"/>
    <w:rsid w:val="002753BA"/>
    <w:rsid w:val="0027608E"/>
    <w:rsid w:val="002767B6"/>
    <w:rsid w:val="002778AE"/>
    <w:rsid w:val="00281136"/>
    <w:rsid w:val="002816DA"/>
    <w:rsid w:val="002819F5"/>
    <w:rsid w:val="00281EA8"/>
    <w:rsid w:val="00282372"/>
    <w:rsid w:val="0028269A"/>
    <w:rsid w:val="00283590"/>
    <w:rsid w:val="0028637A"/>
    <w:rsid w:val="00286973"/>
    <w:rsid w:val="00286A90"/>
    <w:rsid w:val="00287E9E"/>
    <w:rsid w:val="00294E70"/>
    <w:rsid w:val="0029697D"/>
    <w:rsid w:val="00296FF0"/>
    <w:rsid w:val="00297DCE"/>
    <w:rsid w:val="002A0105"/>
    <w:rsid w:val="002A16F6"/>
    <w:rsid w:val="002A1924"/>
    <w:rsid w:val="002A6062"/>
    <w:rsid w:val="002A7420"/>
    <w:rsid w:val="002B0AD4"/>
    <w:rsid w:val="002B0F12"/>
    <w:rsid w:val="002B1308"/>
    <w:rsid w:val="002B2470"/>
    <w:rsid w:val="002B38F3"/>
    <w:rsid w:val="002B4554"/>
    <w:rsid w:val="002B4935"/>
    <w:rsid w:val="002B538C"/>
    <w:rsid w:val="002B551C"/>
    <w:rsid w:val="002B5B01"/>
    <w:rsid w:val="002B63C7"/>
    <w:rsid w:val="002B6CAA"/>
    <w:rsid w:val="002B7DF6"/>
    <w:rsid w:val="002C3BA3"/>
    <w:rsid w:val="002C6F50"/>
    <w:rsid w:val="002C72D8"/>
    <w:rsid w:val="002C7326"/>
    <w:rsid w:val="002D118E"/>
    <w:rsid w:val="002D11FA"/>
    <w:rsid w:val="002D1A77"/>
    <w:rsid w:val="002D3C1A"/>
    <w:rsid w:val="002D51B8"/>
    <w:rsid w:val="002D6680"/>
    <w:rsid w:val="002D6BD0"/>
    <w:rsid w:val="002D7867"/>
    <w:rsid w:val="002D7A01"/>
    <w:rsid w:val="002E08C8"/>
    <w:rsid w:val="002E0DDF"/>
    <w:rsid w:val="002E126E"/>
    <w:rsid w:val="002E13C9"/>
    <w:rsid w:val="002E18B7"/>
    <w:rsid w:val="002E2906"/>
    <w:rsid w:val="002E2FF5"/>
    <w:rsid w:val="002E5635"/>
    <w:rsid w:val="002E5D17"/>
    <w:rsid w:val="002E64C3"/>
    <w:rsid w:val="002E6A2C"/>
    <w:rsid w:val="002F137B"/>
    <w:rsid w:val="002F1D8C"/>
    <w:rsid w:val="002F21DA"/>
    <w:rsid w:val="002F2718"/>
    <w:rsid w:val="002F56D0"/>
    <w:rsid w:val="002F5A40"/>
    <w:rsid w:val="003002DC"/>
    <w:rsid w:val="003005F0"/>
    <w:rsid w:val="00301F39"/>
    <w:rsid w:val="003020F5"/>
    <w:rsid w:val="00302661"/>
    <w:rsid w:val="00305E22"/>
    <w:rsid w:val="003065AF"/>
    <w:rsid w:val="0030689A"/>
    <w:rsid w:val="00307090"/>
    <w:rsid w:val="00311B62"/>
    <w:rsid w:val="00312628"/>
    <w:rsid w:val="0031567E"/>
    <w:rsid w:val="003159D9"/>
    <w:rsid w:val="003162BA"/>
    <w:rsid w:val="00320B66"/>
    <w:rsid w:val="003214D5"/>
    <w:rsid w:val="00323AA1"/>
    <w:rsid w:val="0032461D"/>
    <w:rsid w:val="0032470C"/>
    <w:rsid w:val="00325926"/>
    <w:rsid w:val="00327848"/>
    <w:rsid w:val="00327A8A"/>
    <w:rsid w:val="00331502"/>
    <w:rsid w:val="00332673"/>
    <w:rsid w:val="003335BD"/>
    <w:rsid w:val="00334F8F"/>
    <w:rsid w:val="00336610"/>
    <w:rsid w:val="00337394"/>
    <w:rsid w:val="00340437"/>
    <w:rsid w:val="0034301B"/>
    <w:rsid w:val="00343F73"/>
    <w:rsid w:val="00345060"/>
    <w:rsid w:val="0035037B"/>
    <w:rsid w:val="003515FE"/>
    <w:rsid w:val="00352435"/>
    <w:rsid w:val="0035323B"/>
    <w:rsid w:val="00353340"/>
    <w:rsid w:val="003534CD"/>
    <w:rsid w:val="00356054"/>
    <w:rsid w:val="00357EC6"/>
    <w:rsid w:val="003609D2"/>
    <w:rsid w:val="003614F0"/>
    <w:rsid w:val="00362132"/>
    <w:rsid w:val="00362357"/>
    <w:rsid w:val="00362B35"/>
    <w:rsid w:val="00363B21"/>
    <w:rsid w:val="00363F22"/>
    <w:rsid w:val="00365922"/>
    <w:rsid w:val="00366382"/>
    <w:rsid w:val="00373983"/>
    <w:rsid w:val="00373A20"/>
    <w:rsid w:val="00374DF1"/>
    <w:rsid w:val="00375564"/>
    <w:rsid w:val="0037604A"/>
    <w:rsid w:val="003762D1"/>
    <w:rsid w:val="003802D2"/>
    <w:rsid w:val="00380491"/>
    <w:rsid w:val="003807B8"/>
    <w:rsid w:val="00381159"/>
    <w:rsid w:val="00381781"/>
    <w:rsid w:val="00382CBD"/>
    <w:rsid w:val="00383137"/>
    <w:rsid w:val="00383191"/>
    <w:rsid w:val="00384F36"/>
    <w:rsid w:val="00386DED"/>
    <w:rsid w:val="00387084"/>
    <w:rsid w:val="003903FD"/>
    <w:rsid w:val="0039111A"/>
    <w:rsid w:val="003912E7"/>
    <w:rsid w:val="00393947"/>
    <w:rsid w:val="00393F26"/>
    <w:rsid w:val="00395398"/>
    <w:rsid w:val="00396E83"/>
    <w:rsid w:val="003A1CC1"/>
    <w:rsid w:val="003A2275"/>
    <w:rsid w:val="003A3875"/>
    <w:rsid w:val="003A6A4F"/>
    <w:rsid w:val="003A6C69"/>
    <w:rsid w:val="003A700A"/>
    <w:rsid w:val="003A7088"/>
    <w:rsid w:val="003B00DF"/>
    <w:rsid w:val="003B0FE6"/>
    <w:rsid w:val="003B1275"/>
    <w:rsid w:val="003B1778"/>
    <w:rsid w:val="003B23A4"/>
    <w:rsid w:val="003B2B9F"/>
    <w:rsid w:val="003B53C6"/>
    <w:rsid w:val="003B556F"/>
    <w:rsid w:val="003B6256"/>
    <w:rsid w:val="003C05EB"/>
    <w:rsid w:val="003C11CB"/>
    <w:rsid w:val="003C31CD"/>
    <w:rsid w:val="003C3614"/>
    <w:rsid w:val="003C4823"/>
    <w:rsid w:val="003C4B91"/>
    <w:rsid w:val="003C58D7"/>
    <w:rsid w:val="003C75F3"/>
    <w:rsid w:val="003C78A3"/>
    <w:rsid w:val="003D006B"/>
    <w:rsid w:val="003D1C47"/>
    <w:rsid w:val="003D3991"/>
    <w:rsid w:val="003D3DF2"/>
    <w:rsid w:val="003D40CC"/>
    <w:rsid w:val="003D4288"/>
    <w:rsid w:val="003D7F15"/>
    <w:rsid w:val="003E0154"/>
    <w:rsid w:val="003E1867"/>
    <w:rsid w:val="003E5729"/>
    <w:rsid w:val="003E5C43"/>
    <w:rsid w:val="003E7DB1"/>
    <w:rsid w:val="003F130C"/>
    <w:rsid w:val="003F1E8D"/>
    <w:rsid w:val="003F236F"/>
    <w:rsid w:val="003F30EE"/>
    <w:rsid w:val="003F39BF"/>
    <w:rsid w:val="003F3FB5"/>
    <w:rsid w:val="003F45F1"/>
    <w:rsid w:val="003F4EE0"/>
    <w:rsid w:val="003F5149"/>
    <w:rsid w:val="0040084F"/>
    <w:rsid w:val="00401407"/>
    <w:rsid w:val="00402153"/>
    <w:rsid w:val="0040264A"/>
    <w:rsid w:val="00402FC1"/>
    <w:rsid w:val="00403402"/>
    <w:rsid w:val="004044AF"/>
    <w:rsid w:val="0040471C"/>
    <w:rsid w:val="00404C9C"/>
    <w:rsid w:val="004052D6"/>
    <w:rsid w:val="00407416"/>
    <w:rsid w:val="0040769E"/>
    <w:rsid w:val="00411AE1"/>
    <w:rsid w:val="00413016"/>
    <w:rsid w:val="00420B93"/>
    <w:rsid w:val="00421217"/>
    <w:rsid w:val="00421C53"/>
    <w:rsid w:val="0042438B"/>
    <w:rsid w:val="004244F8"/>
    <w:rsid w:val="00425082"/>
    <w:rsid w:val="00431DEB"/>
    <w:rsid w:val="00433D0C"/>
    <w:rsid w:val="00434FAB"/>
    <w:rsid w:val="00435752"/>
    <w:rsid w:val="004363EC"/>
    <w:rsid w:val="0043657C"/>
    <w:rsid w:val="00440241"/>
    <w:rsid w:val="004419EB"/>
    <w:rsid w:val="0044427E"/>
    <w:rsid w:val="004444E7"/>
    <w:rsid w:val="0044567E"/>
    <w:rsid w:val="00446B29"/>
    <w:rsid w:val="004522B9"/>
    <w:rsid w:val="00453F9A"/>
    <w:rsid w:val="00455DBA"/>
    <w:rsid w:val="004565D0"/>
    <w:rsid w:val="00457B37"/>
    <w:rsid w:val="00457E7A"/>
    <w:rsid w:val="004604F9"/>
    <w:rsid w:val="00460DBE"/>
    <w:rsid w:val="0046129C"/>
    <w:rsid w:val="004613F3"/>
    <w:rsid w:val="00461B17"/>
    <w:rsid w:val="00462B90"/>
    <w:rsid w:val="004642ED"/>
    <w:rsid w:val="00465402"/>
    <w:rsid w:val="00465B49"/>
    <w:rsid w:val="004660A8"/>
    <w:rsid w:val="00471737"/>
    <w:rsid w:val="00471E91"/>
    <w:rsid w:val="00474675"/>
    <w:rsid w:val="0047470C"/>
    <w:rsid w:val="004754D0"/>
    <w:rsid w:val="004807B1"/>
    <w:rsid w:val="0048161F"/>
    <w:rsid w:val="00481B92"/>
    <w:rsid w:val="0048283B"/>
    <w:rsid w:val="0048346F"/>
    <w:rsid w:val="004845D9"/>
    <w:rsid w:val="00485B7E"/>
    <w:rsid w:val="0048657F"/>
    <w:rsid w:val="00493959"/>
    <w:rsid w:val="0049446E"/>
    <w:rsid w:val="00496B3F"/>
    <w:rsid w:val="004A1B00"/>
    <w:rsid w:val="004A1F7F"/>
    <w:rsid w:val="004A2600"/>
    <w:rsid w:val="004A35F9"/>
    <w:rsid w:val="004A4B71"/>
    <w:rsid w:val="004A5734"/>
    <w:rsid w:val="004A6D7A"/>
    <w:rsid w:val="004B07B5"/>
    <w:rsid w:val="004B1597"/>
    <w:rsid w:val="004B24C1"/>
    <w:rsid w:val="004B2871"/>
    <w:rsid w:val="004B3964"/>
    <w:rsid w:val="004B3BE8"/>
    <w:rsid w:val="004B404F"/>
    <w:rsid w:val="004B431A"/>
    <w:rsid w:val="004B48B8"/>
    <w:rsid w:val="004B5067"/>
    <w:rsid w:val="004B6CF7"/>
    <w:rsid w:val="004C1539"/>
    <w:rsid w:val="004C1E5D"/>
    <w:rsid w:val="004C292F"/>
    <w:rsid w:val="004C3332"/>
    <w:rsid w:val="004C3F3F"/>
    <w:rsid w:val="004C6C15"/>
    <w:rsid w:val="004C75E3"/>
    <w:rsid w:val="004C776F"/>
    <w:rsid w:val="004C7A47"/>
    <w:rsid w:val="004C7D44"/>
    <w:rsid w:val="004D37CA"/>
    <w:rsid w:val="004D6BEE"/>
    <w:rsid w:val="004E5E40"/>
    <w:rsid w:val="004E62E2"/>
    <w:rsid w:val="004E6D7D"/>
    <w:rsid w:val="004F0F22"/>
    <w:rsid w:val="004F1C3F"/>
    <w:rsid w:val="004F5871"/>
    <w:rsid w:val="004F714B"/>
    <w:rsid w:val="00500646"/>
    <w:rsid w:val="0050183C"/>
    <w:rsid w:val="0050190D"/>
    <w:rsid w:val="00501DDA"/>
    <w:rsid w:val="005033D3"/>
    <w:rsid w:val="005056C9"/>
    <w:rsid w:val="00506F04"/>
    <w:rsid w:val="0050715F"/>
    <w:rsid w:val="00510280"/>
    <w:rsid w:val="0051203C"/>
    <w:rsid w:val="0051235E"/>
    <w:rsid w:val="0051254A"/>
    <w:rsid w:val="00513D73"/>
    <w:rsid w:val="005149FC"/>
    <w:rsid w:val="00514A43"/>
    <w:rsid w:val="005169E0"/>
    <w:rsid w:val="0051706C"/>
    <w:rsid w:val="005174E5"/>
    <w:rsid w:val="005179E4"/>
    <w:rsid w:val="0052150B"/>
    <w:rsid w:val="00522393"/>
    <w:rsid w:val="00522620"/>
    <w:rsid w:val="00524231"/>
    <w:rsid w:val="0052476F"/>
    <w:rsid w:val="00525656"/>
    <w:rsid w:val="00526F58"/>
    <w:rsid w:val="0053163E"/>
    <w:rsid w:val="00531E1B"/>
    <w:rsid w:val="0053338E"/>
    <w:rsid w:val="00533D4B"/>
    <w:rsid w:val="00534C02"/>
    <w:rsid w:val="00535143"/>
    <w:rsid w:val="0053780D"/>
    <w:rsid w:val="005408EA"/>
    <w:rsid w:val="0054221F"/>
    <w:rsid w:val="0054264B"/>
    <w:rsid w:val="00543786"/>
    <w:rsid w:val="005437D2"/>
    <w:rsid w:val="00544402"/>
    <w:rsid w:val="005454E7"/>
    <w:rsid w:val="00546B94"/>
    <w:rsid w:val="00547930"/>
    <w:rsid w:val="005503A8"/>
    <w:rsid w:val="00550BAF"/>
    <w:rsid w:val="00550C59"/>
    <w:rsid w:val="00550D78"/>
    <w:rsid w:val="00551CBD"/>
    <w:rsid w:val="005533D7"/>
    <w:rsid w:val="00555982"/>
    <w:rsid w:val="00557542"/>
    <w:rsid w:val="00560517"/>
    <w:rsid w:val="00560D18"/>
    <w:rsid w:val="00561E9A"/>
    <w:rsid w:val="005703DE"/>
    <w:rsid w:val="00573FFB"/>
    <w:rsid w:val="0057423A"/>
    <w:rsid w:val="0057768D"/>
    <w:rsid w:val="00580C6D"/>
    <w:rsid w:val="00582115"/>
    <w:rsid w:val="0058274A"/>
    <w:rsid w:val="00584616"/>
    <w:rsid w:val="0058464E"/>
    <w:rsid w:val="0058465A"/>
    <w:rsid w:val="005849D9"/>
    <w:rsid w:val="00584B53"/>
    <w:rsid w:val="00586290"/>
    <w:rsid w:val="0059159C"/>
    <w:rsid w:val="00592722"/>
    <w:rsid w:val="00592CCA"/>
    <w:rsid w:val="00593E34"/>
    <w:rsid w:val="00595136"/>
    <w:rsid w:val="005A01CB"/>
    <w:rsid w:val="005A05CB"/>
    <w:rsid w:val="005A0D14"/>
    <w:rsid w:val="005A261B"/>
    <w:rsid w:val="005A3D7F"/>
    <w:rsid w:val="005A4746"/>
    <w:rsid w:val="005A4748"/>
    <w:rsid w:val="005A58FF"/>
    <w:rsid w:val="005A5EAF"/>
    <w:rsid w:val="005A64C0"/>
    <w:rsid w:val="005A696E"/>
    <w:rsid w:val="005A6CDD"/>
    <w:rsid w:val="005A6DB5"/>
    <w:rsid w:val="005A73E2"/>
    <w:rsid w:val="005B1112"/>
    <w:rsid w:val="005B14FC"/>
    <w:rsid w:val="005B3C11"/>
    <w:rsid w:val="005B40A1"/>
    <w:rsid w:val="005B4D3C"/>
    <w:rsid w:val="005B662D"/>
    <w:rsid w:val="005B7CF2"/>
    <w:rsid w:val="005C1C28"/>
    <w:rsid w:val="005C2230"/>
    <w:rsid w:val="005C2996"/>
    <w:rsid w:val="005C31CD"/>
    <w:rsid w:val="005C5CF1"/>
    <w:rsid w:val="005C6DB5"/>
    <w:rsid w:val="005D0CE3"/>
    <w:rsid w:val="005D2BB3"/>
    <w:rsid w:val="005D5F88"/>
    <w:rsid w:val="005D7912"/>
    <w:rsid w:val="005D7ECF"/>
    <w:rsid w:val="005E1017"/>
    <w:rsid w:val="005E19E7"/>
    <w:rsid w:val="005E1BD9"/>
    <w:rsid w:val="005E2173"/>
    <w:rsid w:val="005E3430"/>
    <w:rsid w:val="005E7723"/>
    <w:rsid w:val="005E7933"/>
    <w:rsid w:val="005F0D9E"/>
    <w:rsid w:val="005F1323"/>
    <w:rsid w:val="005F34C6"/>
    <w:rsid w:val="005F3DF6"/>
    <w:rsid w:val="005F4C73"/>
    <w:rsid w:val="005F4CF8"/>
    <w:rsid w:val="005F51C7"/>
    <w:rsid w:val="005F5AE7"/>
    <w:rsid w:val="005F68BA"/>
    <w:rsid w:val="005F7C47"/>
    <w:rsid w:val="00600F4C"/>
    <w:rsid w:val="00601D22"/>
    <w:rsid w:val="0060240C"/>
    <w:rsid w:val="00603F03"/>
    <w:rsid w:val="0060490D"/>
    <w:rsid w:val="00604985"/>
    <w:rsid w:val="00605437"/>
    <w:rsid w:val="00606514"/>
    <w:rsid w:val="00606529"/>
    <w:rsid w:val="006107A9"/>
    <w:rsid w:val="00612A7B"/>
    <w:rsid w:val="00613E25"/>
    <w:rsid w:val="006155DE"/>
    <w:rsid w:val="00615627"/>
    <w:rsid w:val="006168EC"/>
    <w:rsid w:val="00616EBE"/>
    <w:rsid w:val="0061716C"/>
    <w:rsid w:val="00617DDA"/>
    <w:rsid w:val="00620379"/>
    <w:rsid w:val="006218EC"/>
    <w:rsid w:val="00621F0C"/>
    <w:rsid w:val="00622A6C"/>
    <w:rsid w:val="006230C6"/>
    <w:rsid w:val="006243A1"/>
    <w:rsid w:val="00625B27"/>
    <w:rsid w:val="0062756B"/>
    <w:rsid w:val="0063062E"/>
    <w:rsid w:val="00630E73"/>
    <w:rsid w:val="00632115"/>
    <w:rsid w:val="00632357"/>
    <w:rsid w:val="00632E56"/>
    <w:rsid w:val="00633E5D"/>
    <w:rsid w:val="006342DC"/>
    <w:rsid w:val="00635CBA"/>
    <w:rsid w:val="0063743E"/>
    <w:rsid w:val="006374FE"/>
    <w:rsid w:val="006406AD"/>
    <w:rsid w:val="00642413"/>
    <w:rsid w:val="0064338B"/>
    <w:rsid w:val="00644AF0"/>
    <w:rsid w:val="00644E1C"/>
    <w:rsid w:val="0064594D"/>
    <w:rsid w:val="00645B9D"/>
    <w:rsid w:val="00646542"/>
    <w:rsid w:val="00647C7D"/>
    <w:rsid w:val="006504F4"/>
    <w:rsid w:val="006509C3"/>
    <w:rsid w:val="00651E9C"/>
    <w:rsid w:val="00652A7C"/>
    <w:rsid w:val="00654036"/>
    <w:rsid w:val="00654BC9"/>
    <w:rsid w:val="0065528C"/>
    <w:rsid w:val="006552FD"/>
    <w:rsid w:val="0065564E"/>
    <w:rsid w:val="00655816"/>
    <w:rsid w:val="00655E35"/>
    <w:rsid w:val="0065651F"/>
    <w:rsid w:val="006574CC"/>
    <w:rsid w:val="0066051D"/>
    <w:rsid w:val="00660C79"/>
    <w:rsid w:val="0066142B"/>
    <w:rsid w:val="00663AF3"/>
    <w:rsid w:val="00666764"/>
    <w:rsid w:val="00666AA4"/>
    <w:rsid w:val="00666B6C"/>
    <w:rsid w:val="006676B3"/>
    <w:rsid w:val="006677EF"/>
    <w:rsid w:val="00682682"/>
    <w:rsid w:val="00682702"/>
    <w:rsid w:val="00682789"/>
    <w:rsid w:val="00684D1E"/>
    <w:rsid w:val="00687EBF"/>
    <w:rsid w:val="00692368"/>
    <w:rsid w:val="00694281"/>
    <w:rsid w:val="00695D0B"/>
    <w:rsid w:val="006A02B2"/>
    <w:rsid w:val="006A02BB"/>
    <w:rsid w:val="006A1B1D"/>
    <w:rsid w:val="006A2EBC"/>
    <w:rsid w:val="006A38F1"/>
    <w:rsid w:val="006A40FC"/>
    <w:rsid w:val="006A4233"/>
    <w:rsid w:val="006A5EA0"/>
    <w:rsid w:val="006A783B"/>
    <w:rsid w:val="006A7A8F"/>
    <w:rsid w:val="006A7B33"/>
    <w:rsid w:val="006B219B"/>
    <w:rsid w:val="006B41E0"/>
    <w:rsid w:val="006B4E13"/>
    <w:rsid w:val="006B6891"/>
    <w:rsid w:val="006B75DD"/>
    <w:rsid w:val="006C0249"/>
    <w:rsid w:val="006C11F0"/>
    <w:rsid w:val="006C205C"/>
    <w:rsid w:val="006C2D99"/>
    <w:rsid w:val="006C4231"/>
    <w:rsid w:val="006C58BC"/>
    <w:rsid w:val="006C60A7"/>
    <w:rsid w:val="006C611F"/>
    <w:rsid w:val="006C67E0"/>
    <w:rsid w:val="006C7ABA"/>
    <w:rsid w:val="006D058A"/>
    <w:rsid w:val="006D0811"/>
    <w:rsid w:val="006D083F"/>
    <w:rsid w:val="006D0D60"/>
    <w:rsid w:val="006D1122"/>
    <w:rsid w:val="006D1B82"/>
    <w:rsid w:val="006D1ED4"/>
    <w:rsid w:val="006D2506"/>
    <w:rsid w:val="006D3C00"/>
    <w:rsid w:val="006D5D4A"/>
    <w:rsid w:val="006D6535"/>
    <w:rsid w:val="006E1377"/>
    <w:rsid w:val="006E15AE"/>
    <w:rsid w:val="006E216B"/>
    <w:rsid w:val="006E3675"/>
    <w:rsid w:val="006E4A7F"/>
    <w:rsid w:val="006E6A68"/>
    <w:rsid w:val="006F1603"/>
    <w:rsid w:val="006F18BF"/>
    <w:rsid w:val="006F2283"/>
    <w:rsid w:val="006F2388"/>
    <w:rsid w:val="006F52A7"/>
    <w:rsid w:val="006F5EED"/>
    <w:rsid w:val="006F6773"/>
    <w:rsid w:val="006F7BB0"/>
    <w:rsid w:val="00701F72"/>
    <w:rsid w:val="0070279E"/>
    <w:rsid w:val="00702939"/>
    <w:rsid w:val="00702C6C"/>
    <w:rsid w:val="00702CC3"/>
    <w:rsid w:val="00702D02"/>
    <w:rsid w:val="00704077"/>
    <w:rsid w:val="00704DF6"/>
    <w:rsid w:val="007051C9"/>
    <w:rsid w:val="007054A4"/>
    <w:rsid w:val="007062C5"/>
    <w:rsid w:val="0070651C"/>
    <w:rsid w:val="00706DAA"/>
    <w:rsid w:val="0070781E"/>
    <w:rsid w:val="00707A80"/>
    <w:rsid w:val="00712278"/>
    <w:rsid w:val="007132A3"/>
    <w:rsid w:val="00714D2B"/>
    <w:rsid w:val="00715567"/>
    <w:rsid w:val="007161E3"/>
    <w:rsid w:val="00716421"/>
    <w:rsid w:val="00717CA4"/>
    <w:rsid w:val="007232D2"/>
    <w:rsid w:val="00724451"/>
    <w:rsid w:val="00724EFB"/>
    <w:rsid w:val="007263D2"/>
    <w:rsid w:val="00732C9A"/>
    <w:rsid w:val="00734AA4"/>
    <w:rsid w:val="00734B8E"/>
    <w:rsid w:val="00735953"/>
    <w:rsid w:val="007378E4"/>
    <w:rsid w:val="00741669"/>
    <w:rsid w:val="007419C3"/>
    <w:rsid w:val="007423B6"/>
    <w:rsid w:val="007431C5"/>
    <w:rsid w:val="007434BD"/>
    <w:rsid w:val="007467A7"/>
    <w:rsid w:val="007469DD"/>
    <w:rsid w:val="00746CC5"/>
    <w:rsid w:val="0074741B"/>
    <w:rsid w:val="0074759E"/>
    <w:rsid w:val="007478EA"/>
    <w:rsid w:val="0074796E"/>
    <w:rsid w:val="0075090C"/>
    <w:rsid w:val="00751425"/>
    <w:rsid w:val="00751DE1"/>
    <w:rsid w:val="007523D8"/>
    <w:rsid w:val="0075415C"/>
    <w:rsid w:val="0075452A"/>
    <w:rsid w:val="00754E4E"/>
    <w:rsid w:val="0075718A"/>
    <w:rsid w:val="00761C4F"/>
    <w:rsid w:val="00763502"/>
    <w:rsid w:val="00764923"/>
    <w:rsid w:val="007656FA"/>
    <w:rsid w:val="00766100"/>
    <w:rsid w:val="00767469"/>
    <w:rsid w:val="007678B8"/>
    <w:rsid w:val="00770936"/>
    <w:rsid w:val="007709CF"/>
    <w:rsid w:val="00772345"/>
    <w:rsid w:val="007725FD"/>
    <w:rsid w:val="00773A68"/>
    <w:rsid w:val="00773F72"/>
    <w:rsid w:val="00774D07"/>
    <w:rsid w:val="00776019"/>
    <w:rsid w:val="00777009"/>
    <w:rsid w:val="00777B75"/>
    <w:rsid w:val="00777CC5"/>
    <w:rsid w:val="00780187"/>
    <w:rsid w:val="00780961"/>
    <w:rsid w:val="007822CC"/>
    <w:rsid w:val="00785B3E"/>
    <w:rsid w:val="007863AD"/>
    <w:rsid w:val="0078736E"/>
    <w:rsid w:val="00787554"/>
    <w:rsid w:val="00787B33"/>
    <w:rsid w:val="00787F8C"/>
    <w:rsid w:val="007913AB"/>
    <w:rsid w:val="007914F7"/>
    <w:rsid w:val="00795354"/>
    <w:rsid w:val="007A19C9"/>
    <w:rsid w:val="007A1F70"/>
    <w:rsid w:val="007A5B6A"/>
    <w:rsid w:val="007A6973"/>
    <w:rsid w:val="007A7906"/>
    <w:rsid w:val="007B1625"/>
    <w:rsid w:val="007B2AF5"/>
    <w:rsid w:val="007B2C03"/>
    <w:rsid w:val="007B2CF8"/>
    <w:rsid w:val="007B6DA4"/>
    <w:rsid w:val="007B706E"/>
    <w:rsid w:val="007B71EB"/>
    <w:rsid w:val="007B77D8"/>
    <w:rsid w:val="007C042D"/>
    <w:rsid w:val="007C1405"/>
    <w:rsid w:val="007C4292"/>
    <w:rsid w:val="007C45EA"/>
    <w:rsid w:val="007C52CC"/>
    <w:rsid w:val="007C6205"/>
    <w:rsid w:val="007C686A"/>
    <w:rsid w:val="007C6CB4"/>
    <w:rsid w:val="007C6DE5"/>
    <w:rsid w:val="007C728E"/>
    <w:rsid w:val="007C7AAB"/>
    <w:rsid w:val="007D2C53"/>
    <w:rsid w:val="007D2E5B"/>
    <w:rsid w:val="007D3D60"/>
    <w:rsid w:val="007D3ED2"/>
    <w:rsid w:val="007D46CC"/>
    <w:rsid w:val="007D596C"/>
    <w:rsid w:val="007D5ECD"/>
    <w:rsid w:val="007D624C"/>
    <w:rsid w:val="007D6CCB"/>
    <w:rsid w:val="007E078D"/>
    <w:rsid w:val="007E1980"/>
    <w:rsid w:val="007E2376"/>
    <w:rsid w:val="007E2EED"/>
    <w:rsid w:val="007E4B76"/>
    <w:rsid w:val="007E5EA8"/>
    <w:rsid w:val="007E6246"/>
    <w:rsid w:val="007F0A67"/>
    <w:rsid w:val="007F0CF1"/>
    <w:rsid w:val="007F12A5"/>
    <w:rsid w:val="007F1814"/>
    <w:rsid w:val="007F4C15"/>
    <w:rsid w:val="007F4CF1"/>
    <w:rsid w:val="007F4DA3"/>
    <w:rsid w:val="007F589F"/>
    <w:rsid w:val="007F5C32"/>
    <w:rsid w:val="007F7073"/>
    <w:rsid w:val="007F758D"/>
    <w:rsid w:val="007F7D52"/>
    <w:rsid w:val="00800E22"/>
    <w:rsid w:val="0080300C"/>
    <w:rsid w:val="00803229"/>
    <w:rsid w:val="00804B2C"/>
    <w:rsid w:val="008050B0"/>
    <w:rsid w:val="00805B86"/>
    <w:rsid w:val="0080642F"/>
    <w:rsid w:val="0080654C"/>
    <w:rsid w:val="008071C6"/>
    <w:rsid w:val="008078DF"/>
    <w:rsid w:val="00810237"/>
    <w:rsid w:val="00810A29"/>
    <w:rsid w:val="00810CC3"/>
    <w:rsid w:val="00811506"/>
    <w:rsid w:val="00811658"/>
    <w:rsid w:val="008130C8"/>
    <w:rsid w:val="00813BFF"/>
    <w:rsid w:val="00815F9F"/>
    <w:rsid w:val="00817A00"/>
    <w:rsid w:val="00817AAB"/>
    <w:rsid w:val="00822494"/>
    <w:rsid w:val="00822B0F"/>
    <w:rsid w:val="00825781"/>
    <w:rsid w:val="008264A0"/>
    <w:rsid w:val="0082697E"/>
    <w:rsid w:val="00832D48"/>
    <w:rsid w:val="00833F47"/>
    <w:rsid w:val="00835DB3"/>
    <w:rsid w:val="0083617B"/>
    <w:rsid w:val="0083717E"/>
    <w:rsid w:val="008371BD"/>
    <w:rsid w:val="0083787D"/>
    <w:rsid w:val="00837B41"/>
    <w:rsid w:val="008419D2"/>
    <w:rsid w:val="00842862"/>
    <w:rsid w:val="00843B1B"/>
    <w:rsid w:val="00843FE6"/>
    <w:rsid w:val="00845E9D"/>
    <w:rsid w:val="008462ED"/>
    <w:rsid w:val="00846FDF"/>
    <w:rsid w:val="00850086"/>
    <w:rsid w:val="0085026F"/>
    <w:rsid w:val="008504A8"/>
    <w:rsid w:val="00850CAB"/>
    <w:rsid w:val="008522A2"/>
    <w:rsid w:val="0085282E"/>
    <w:rsid w:val="0085442A"/>
    <w:rsid w:val="00854917"/>
    <w:rsid w:val="008551F5"/>
    <w:rsid w:val="00855D92"/>
    <w:rsid w:val="00856471"/>
    <w:rsid w:val="00857074"/>
    <w:rsid w:val="008630AF"/>
    <w:rsid w:val="00864B4F"/>
    <w:rsid w:val="0087198C"/>
    <w:rsid w:val="0087279B"/>
    <w:rsid w:val="00872C1F"/>
    <w:rsid w:val="00873B42"/>
    <w:rsid w:val="00875CF6"/>
    <w:rsid w:val="008766D1"/>
    <w:rsid w:val="00882F0E"/>
    <w:rsid w:val="00883B86"/>
    <w:rsid w:val="008856D8"/>
    <w:rsid w:val="00887AAD"/>
    <w:rsid w:val="00890979"/>
    <w:rsid w:val="00891556"/>
    <w:rsid w:val="00892E82"/>
    <w:rsid w:val="0089444F"/>
    <w:rsid w:val="00894793"/>
    <w:rsid w:val="008947A7"/>
    <w:rsid w:val="00894B2C"/>
    <w:rsid w:val="008A0003"/>
    <w:rsid w:val="008A2B34"/>
    <w:rsid w:val="008A3616"/>
    <w:rsid w:val="008A7046"/>
    <w:rsid w:val="008B059F"/>
    <w:rsid w:val="008B082F"/>
    <w:rsid w:val="008B0C40"/>
    <w:rsid w:val="008B180F"/>
    <w:rsid w:val="008B208F"/>
    <w:rsid w:val="008B39AF"/>
    <w:rsid w:val="008B44C5"/>
    <w:rsid w:val="008B5675"/>
    <w:rsid w:val="008B6326"/>
    <w:rsid w:val="008B6664"/>
    <w:rsid w:val="008C0527"/>
    <w:rsid w:val="008C0E10"/>
    <w:rsid w:val="008C100B"/>
    <w:rsid w:val="008C1B58"/>
    <w:rsid w:val="008C24DA"/>
    <w:rsid w:val="008C2A62"/>
    <w:rsid w:val="008C39AE"/>
    <w:rsid w:val="008C590D"/>
    <w:rsid w:val="008C5CD8"/>
    <w:rsid w:val="008C7F0E"/>
    <w:rsid w:val="008D242B"/>
    <w:rsid w:val="008D2981"/>
    <w:rsid w:val="008D2B87"/>
    <w:rsid w:val="008D2F28"/>
    <w:rsid w:val="008D7793"/>
    <w:rsid w:val="008E031B"/>
    <w:rsid w:val="008E29EC"/>
    <w:rsid w:val="008E3CA8"/>
    <w:rsid w:val="008E4F9B"/>
    <w:rsid w:val="008E5FA6"/>
    <w:rsid w:val="008E7029"/>
    <w:rsid w:val="008E7EF6"/>
    <w:rsid w:val="008F0AC9"/>
    <w:rsid w:val="008F1A10"/>
    <w:rsid w:val="008F1F98"/>
    <w:rsid w:val="008F47E9"/>
    <w:rsid w:val="008F6758"/>
    <w:rsid w:val="008F6FF0"/>
    <w:rsid w:val="00901A2C"/>
    <w:rsid w:val="0090243C"/>
    <w:rsid w:val="00902D44"/>
    <w:rsid w:val="00903440"/>
    <w:rsid w:val="00903F08"/>
    <w:rsid w:val="00904018"/>
    <w:rsid w:val="009040DD"/>
    <w:rsid w:val="00905B47"/>
    <w:rsid w:val="0090647E"/>
    <w:rsid w:val="00906A23"/>
    <w:rsid w:val="00911A82"/>
    <w:rsid w:val="00911AA9"/>
    <w:rsid w:val="0091229F"/>
    <w:rsid w:val="00912981"/>
    <w:rsid w:val="0091331C"/>
    <w:rsid w:val="00915446"/>
    <w:rsid w:val="0091662C"/>
    <w:rsid w:val="00917068"/>
    <w:rsid w:val="00920730"/>
    <w:rsid w:val="00920C09"/>
    <w:rsid w:val="0092456C"/>
    <w:rsid w:val="00926357"/>
    <w:rsid w:val="009274A9"/>
    <w:rsid w:val="00927646"/>
    <w:rsid w:val="009279DE"/>
    <w:rsid w:val="00930116"/>
    <w:rsid w:val="0093052D"/>
    <w:rsid w:val="00931972"/>
    <w:rsid w:val="00933420"/>
    <w:rsid w:val="0093377B"/>
    <w:rsid w:val="00934073"/>
    <w:rsid w:val="009346F6"/>
    <w:rsid w:val="00934E68"/>
    <w:rsid w:val="00935A07"/>
    <w:rsid w:val="00940AD9"/>
    <w:rsid w:val="00941F52"/>
    <w:rsid w:val="0094212C"/>
    <w:rsid w:val="00942C0D"/>
    <w:rsid w:val="00943223"/>
    <w:rsid w:val="0095453B"/>
    <w:rsid w:val="00954689"/>
    <w:rsid w:val="009554DD"/>
    <w:rsid w:val="00955D92"/>
    <w:rsid w:val="00957A77"/>
    <w:rsid w:val="009617C9"/>
    <w:rsid w:val="00961C93"/>
    <w:rsid w:val="00961E4D"/>
    <w:rsid w:val="0096236A"/>
    <w:rsid w:val="00963037"/>
    <w:rsid w:val="009640EC"/>
    <w:rsid w:val="00964A00"/>
    <w:rsid w:val="00965324"/>
    <w:rsid w:val="0096580B"/>
    <w:rsid w:val="00965F8C"/>
    <w:rsid w:val="00967481"/>
    <w:rsid w:val="0096749A"/>
    <w:rsid w:val="0097091E"/>
    <w:rsid w:val="009713C7"/>
    <w:rsid w:val="0097192B"/>
    <w:rsid w:val="00972822"/>
    <w:rsid w:val="00974035"/>
    <w:rsid w:val="009749CF"/>
    <w:rsid w:val="009760D3"/>
    <w:rsid w:val="009760FE"/>
    <w:rsid w:val="00977132"/>
    <w:rsid w:val="009808C6"/>
    <w:rsid w:val="00981466"/>
    <w:rsid w:val="00981A4B"/>
    <w:rsid w:val="00982501"/>
    <w:rsid w:val="00983619"/>
    <w:rsid w:val="00983F02"/>
    <w:rsid w:val="00984218"/>
    <w:rsid w:val="00984B18"/>
    <w:rsid w:val="00984B5A"/>
    <w:rsid w:val="00985051"/>
    <w:rsid w:val="009855FD"/>
    <w:rsid w:val="00986A64"/>
    <w:rsid w:val="0098702C"/>
    <w:rsid w:val="009877D3"/>
    <w:rsid w:val="00991BB7"/>
    <w:rsid w:val="00993CFA"/>
    <w:rsid w:val="009943F6"/>
    <w:rsid w:val="00994E8F"/>
    <w:rsid w:val="00994ECF"/>
    <w:rsid w:val="009951DC"/>
    <w:rsid w:val="009959BB"/>
    <w:rsid w:val="00997158"/>
    <w:rsid w:val="009A03F0"/>
    <w:rsid w:val="009A187D"/>
    <w:rsid w:val="009A3A7C"/>
    <w:rsid w:val="009A3C72"/>
    <w:rsid w:val="009A48F2"/>
    <w:rsid w:val="009A7318"/>
    <w:rsid w:val="009A7DD7"/>
    <w:rsid w:val="009B0E04"/>
    <w:rsid w:val="009B2ADB"/>
    <w:rsid w:val="009B383A"/>
    <w:rsid w:val="009B3B7E"/>
    <w:rsid w:val="009B58A2"/>
    <w:rsid w:val="009B5AE4"/>
    <w:rsid w:val="009B5AFF"/>
    <w:rsid w:val="009B603A"/>
    <w:rsid w:val="009C2D0E"/>
    <w:rsid w:val="009C3518"/>
    <w:rsid w:val="009C3DAC"/>
    <w:rsid w:val="009C42E0"/>
    <w:rsid w:val="009C5D19"/>
    <w:rsid w:val="009C6CD9"/>
    <w:rsid w:val="009C7269"/>
    <w:rsid w:val="009C7EFC"/>
    <w:rsid w:val="009C7F6A"/>
    <w:rsid w:val="009D0D39"/>
    <w:rsid w:val="009D1D6D"/>
    <w:rsid w:val="009D2FD1"/>
    <w:rsid w:val="009D5362"/>
    <w:rsid w:val="009D55D5"/>
    <w:rsid w:val="009D6C83"/>
    <w:rsid w:val="009E1415"/>
    <w:rsid w:val="009E160F"/>
    <w:rsid w:val="009E1D21"/>
    <w:rsid w:val="009E2FE1"/>
    <w:rsid w:val="009E3F17"/>
    <w:rsid w:val="009E6116"/>
    <w:rsid w:val="009E6528"/>
    <w:rsid w:val="009E6982"/>
    <w:rsid w:val="009E6B63"/>
    <w:rsid w:val="009E7828"/>
    <w:rsid w:val="009F18E1"/>
    <w:rsid w:val="009F2567"/>
    <w:rsid w:val="009F353C"/>
    <w:rsid w:val="009F385D"/>
    <w:rsid w:val="009F38AE"/>
    <w:rsid w:val="009F58BA"/>
    <w:rsid w:val="009F71AD"/>
    <w:rsid w:val="00A00617"/>
    <w:rsid w:val="00A02960"/>
    <w:rsid w:val="00A02E43"/>
    <w:rsid w:val="00A03B21"/>
    <w:rsid w:val="00A03B28"/>
    <w:rsid w:val="00A046A5"/>
    <w:rsid w:val="00A04A91"/>
    <w:rsid w:val="00A059A0"/>
    <w:rsid w:val="00A05F96"/>
    <w:rsid w:val="00A065F9"/>
    <w:rsid w:val="00A0660C"/>
    <w:rsid w:val="00A0710D"/>
    <w:rsid w:val="00A07F34"/>
    <w:rsid w:val="00A1017C"/>
    <w:rsid w:val="00A10794"/>
    <w:rsid w:val="00A11270"/>
    <w:rsid w:val="00A17F76"/>
    <w:rsid w:val="00A201BE"/>
    <w:rsid w:val="00A22154"/>
    <w:rsid w:val="00A23CCB"/>
    <w:rsid w:val="00A25C38"/>
    <w:rsid w:val="00A268F5"/>
    <w:rsid w:val="00A3339A"/>
    <w:rsid w:val="00A339D3"/>
    <w:rsid w:val="00A33CC5"/>
    <w:rsid w:val="00A367BE"/>
    <w:rsid w:val="00A36AEF"/>
    <w:rsid w:val="00A36BBE"/>
    <w:rsid w:val="00A40057"/>
    <w:rsid w:val="00A40B56"/>
    <w:rsid w:val="00A40B84"/>
    <w:rsid w:val="00A4307A"/>
    <w:rsid w:val="00A4354F"/>
    <w:rsid w:val="00A44219"/>
    <w:rsid w:val="00A4447A"/>
    <w:rsid w:val="00A45058"/>
    <w:rsid w:val="00A456DC"/>
    <w:rsid w:val="00A46E65"/>
    <w:rsid w:val="00A47EBB"/>
    <w:rsid w:val="00A51CDD"/>
    <w:rsid w:val="00A52DD1"/>
    <w:rsid w:val="00A53AF1"/>
    <w:rsid w:val="00A54EA4"/>
    <w:rsid w:val="00A56950"/>
    <w:rsid w:val="00A61F30"/>
    <w:rsid w:val="00A63658"/>
    <w:rsid w:val="00A65541"/>
    <w:rsid w:val="00A657B7"/>
    <w:rsid w:val="00A6644A"/>
    <w:rsid w:val="00A66B7F"/>
    <w:rsid w:val="00A6730D"/>
    <w:rsid w:val="00A67BE1"/>
    <w:rsid w:val="00A70EEA"/>
    <w:rsid w:val="00A71023"/>
    <w:rsid w:val="00A71625"/>
    <w:rsid w:val="00A71B9B"/>
    <w:rsid w:val="00A71F59"/>
    <w:rsid w:val="00A727AC"/>
    <w:rsid w:val="00A73DB8"/>
    <w:rsid w:val="00A74A6F"/>
    <w:rsid w:val="00A751C7"/>
    <w:rsid w:val="00A76670"/>
    <w:rsid w:val="00A768F6"/>
    <w:rsid w:val="00A77D13"/>
    <w:rsid w:val="00A83358"/>
    <w:rsid w:val="00A8534C"/>
    <w:rsid w:val="00A87844"/>
    <w:rsid w:val="00A914AC"/>
    <w:rsid w:val="00A937C3"/>
    <w:rsid w:val="00A96609"/>
    <w:rsid w:val="00A977A0"/>
    <w:rsid w:val="00AA038C"/>
    <w:rsid w:val="00AA257A"/>
    <w:rsid w:val="00AA26BA"/>
    <w:rsid w:val="00AA319E"/>
    <w:rsid w:val="00AA57CC"/>
    <w:rsid w:val="00AA7A09"/>
    <w:rsid w:val="00AA7C2A"/>
    <w:rsid w:val="00AB3619"/>
    <w:rsid w:val="00AB3B50"/>
    <w:rsid w:val="00AB4711"/>
    <w:rsid w:val="00AB5BAE"/>
    <w:rsid w:val="00AB64EC"/>
    <w:rsid w:val="00AC05B1"/>
    <w:rsid w:val="00AC4D90"/>
    <w:rsid w:val="00AC795D"/>
    <w:rsid w:val="00AD0464"/>
    <w:rsid w:val="00AD1770"/>
    <w:rsid w:val="00AD1F80"/>
    <w:rsid w:val="00AD2DB2"/>
    <w:rsid w:val="00AD356C"/>
    <w:rsid w:val="00AD37F6"/>
    <w:rsid w:val="00AD400E"/>
    <w:rsid w:val="00AD4265"/>
    <w:rsid w:val="00AD5F5C"/>
    <w:rsid w:val="00AD62A4"/>
    <w:rsid w:val="00AD7918"/>
    <w:rsid w:val="00AD7EF6"/>
    <w:rsid w:val="00AE2914"/>
    <w:rsid w:val="00AE33FD"/>
    <w:rsid w:val="00AE3951"/>
    <w:rsid w:val="00AE6CAD"/>
    <w:rsid w:val="00AE6D15"/>
    <w:rsid w:val="00AE7B7D"/>
    <w:rsid w:val="00AF31A4"/>
    <w:rsid w:val="00AF4B3A"/>
    <w:rsid w:val="00AF4FAD"/>
    <w:rsid w:val="00AF6C3F"/>
    <w:rsid w:val="00AF7CE1"/>
    <w:rsid w:val="00B01106"/>
    <w:rsid w:val="00B01E0C"/>
    <w:rsid w:val="00B02310"/>
    <w:rsid w:val="00B02AFB"/>
    <w:rsid w:val="00B02B11"/>
    <w:rsid w:val="00B033DB"/>
    <w:rsid w:val="00B039EF"/>
    <w:rsid w:val="00B04182"/>
    <w:rsid w:val="00B07291"/>
    <w:rsid w:val="00B07AE3"/>
    <w:rsid w:val="00B113F5"/>
    <w:rsid w:val="00B11430"/>
    <w:rsid w:val="00B122ED"/>
    <w:rsid w:val="00B125F3"/>
    <w:rsid w:val="00B13196"/>
    <w:rsid w:val="00B14D2A"/>
    <w:rsid w:val="00B176D3"/>
    <w:rsid w:val="00B217A8"/>
    <w:rsid w:val="00B220DA"/>
    <w:rsid w:val="00B222C0"/>
    <w:rsid w:val="00B225BF"/>
    <w:rsid w:val="00B225FF"/>
    <w:rsid w:val="00B23C30"/>
    <w:rsid w:val="00B246DC"/>
    <w:rsid w:val="00B24CCB"/>
    <w:rsid w:val="00B24F1F"/>
    <w:rsid w:val="00B26FA7"/>
    <w:rsid w:val="00B27CA5"/>
    <w:rsid w:val="00B30FAA"/>
    <w:rsid w:val="00B339E3"/>
    <w:rsid w:val="00B33A39"/>
    <w:rsid w:val="00B34292"/>
    <w:rsid w:val="00B353EB"/>
    <w:rsid w:val="00B3565B"/>
    <w:rsid w:val="00B35AB2"/>
    <w:rsid w:val="00B36C2B"/>
    <w:rsid w:val="00B37F2F"/>
    <w:rsid w:val="00B41635"/>
    <w:rsid w:val="00B42F55"/>
    <w:rsid w:val="00B439C4"/>
    <w:rsid w:val="00B4535E"/>
    <w:rsid w:val="00B4576B"/>
    <w:rsid w:val="00B47B95"/>
    <w:rsid w:val="00B5194F"/>
    <w:rsid w:val="00B529D7"/>
    <w:rsid w:val="00B52A8C"/>
    <w:rsid w:val="00B5312F"/>
    <w:rsid w:val="00B55AF7"/>
    <w:rsid w:val="00B564AC"/>
    <w:rsid w:val="00B636A8"/>
    <w:rsid w:val="00B6572C"/>
    <w:rsid w:val="00B65F71"/>
    <w:rsid w:val="00B66345"/>
    <w:rsid w:val="00B66360"/>
    <w:rsid w:val="00B665C6"/>
    <w:rsid w:val="00B66728"/>
    <w:rsid w:val="00B71860"/>
    <w:rsid w:val="00B730BF"/>
    <w:rsid w:val="00B73928"/>
    <w:rsid w:val="00B7401A"/>
    <w:rsid w:val="00B75249"/>
    <w:rsid w:val="00B7528A"/>
    <w:rsid w:val="00B75DA2"/>
    <w:rsid w:val="00B76057"/>
    <w:rsid w:val="00B775A4"/>
    <w:rsid w:val="00B80409"/>
    <w:rsid w:val="00B805AF"/>
    <w:rsid w:val="00B80E89"/>
    <w:rsid w:val="00B825C9"/>
    <w:rsid w:val="00B829CC"/>
    <w:rsid w:val="00B84079"/>
    <w:rsid w:val="00B84F7C"/>
    <w:rsid w:val="00B85126"/>
    <w:rsid w:val="00B869EC"/>
    <w:rsid w:val="00B9014D"/>
    <w:rsid w:val="00B903A9"/>
    <w:rsid w:val="00B91498"/>
    <w:rsid w:val="00B9397A"/>
    <w:rsid w:val="00B95BE9"/>
    <w:rsid w:val="00B95F7E"/>
    <w:rsid w:val="00B9633D"/>
    <w:rsid w:val="00B9664F"/>
    <w:rsid w:val="00B96D91"/>
    <w:rsid w:val="00BA20D9"/>
    <w:rsid w:val="00BA2EBE"/>
    <w:rsid w:val="00BA34C3"/>
    <w:rsid w:val="00BA3514"/>
    <w:rsid w:val="00BA5153"/>
    <w:rsid w:val="00BA6795"/>
    <w:rsid w:val="00BA6D02"/>
    <w:rsid w:val="00BB0005"/>
    <w:rsid w:val="00BB0466"/>
    <w:rsid w:val="00BB0F28"/>
    <w:rsid w:val="00BB117A"/>
    <w:rsid w:val="00BB2818"/>
    <w:rsid w:val="00BB2BE0"/>
    <w:rsid w:val="00BB38FA"/>
    <w:rsid w:val="00BB41D2"/>
    <w:rsid w:val="00BB458A"/>
    <w:rsid w:val="00BB5470"/>
    <w:rsid w:val="00BB64BF"/>
    <w:rsid w:val="00BB6BC6"/>
    <w:rsid w:val="00BC0A15"/>
    <w:rsid w:val="00BC0C9B"/>
    <w:rsid w:val="00BC144D"/>
    <w:rsid w:val="00BC1AF3"/>
    <w:rsid w:val="00BC1D14"/>
    <w:rsid w:val="00BC3C78"/>
    <w:rsid w:val="00BC6A0E"/>
    <w:rsid w:val="00BC76F1"/>
    <w:rsid w:val="00BD00D3"/>
    <w:rsid w:val="00BD1099"/>
    <w:rsid w:val="00BD1659"/>
    <w:rsid w:val="00BD3AA9"/>
    <w:rsid w:val="00BD4642"/>
    <w:rsid w:val="00BD4A18"/>
    <w:rsid w:val="00BD5BD8"/>
    <w:rsid w:val="00BD6DB2"/>
    <w:rsid w:val="00BD6DB6"/>
    <w:rsid w:val="00BD715E"/>
    <w:rsid w:val="00BE0415"/>
    <w:rsid w:val="00BE0938"/>
    <w:rsid w:val="00BE11CF"/>
    <w:rsid w:val="00BE1B11"/>
    <w:rsid w:val="00BE21AB"/>
    <w:rsid w:val="00BE2497"/>
    <w:rsid w:val="00BE432C"/>
    <w:rsid w:val="00BE439D"/>
    <w:rsid w:val="00BE4E6F"/>
    <w:rsid w:val="00BE55CB"/>
    <w:rsid w:val="00BE7718"/>
    <w:rsid w:val="00BE7EC9"/>
    <w:rsid w:val="00BF0C85"/>
    <w:rsid w:val="00BF0F48"/>
    <w:rsid w:val="00BF3B70"/>
    <w:rsid w:val="00BF617A"/>
    <w:rsid w:val="00BF661C"/>
    <w:rsid w:val="00BF6F36"/>
    <w:rsid w:val="00C01203"/>
    <w:rsid w:val="00C01412"/>
    <w:rsid w:val="00C01E34"/>
    <w:rsid w:val="00C02B9D"/>
    <w:rsid w:val="00C0379D"/>
    <w:rsid w:val="00C03931"/>
    <w:rsid w:val="00C0577C"/>
    <w:rsid w:val="00C05FE3"/>
    <w:rsid w:val="00C076AC"/>
    <w:rsid w:val="00C11188"/>
    <w:rsid w:val="00C1337A"/>
    <w:rsid w:val="00C1493B"/>
    <w:rsid w:val="00C167BC"/>
    <w:rsid w:val="00C17A23"/>
    <w:rsid w:val="00C20F76"/>
    <w:rsid w:val="00C21328"/>
    <w:rsid w:val="00C2136D"/>
    <w:rsid w:val="00C214EE"/>
    <w:rsid w:val="00C22EF7"/>
    <w:rsid w:val="00C2314B"/>
    <w:rsid w:val="00C24971"/>
    <w:rsid w:val="00C261D0"/>
    <w:rsid w:val="00C26BE5"/>
    <w:rsid w:val="00C26E4D"/>
    <w:rsid w:val="00C27909"/>
    <w:rsid w:val="00C27B03"/>
    <w:rsid w:val="00C30081"/>
    <w:rsid w:val="00C314E1"/>
    <w:rsid w:val="00C3211D"/>
    <w:rsid w:val="00C3222D"/>
    <w:rsid w:val="00C3422C"/>
    <w:rsid w:val="00C34397"/>
    <w:rsid w:val="00C35D8A"/>
    <w:rsid w:val="00C366E0"/>
    <w:rsid w:val="00C379A8"/>
    <w:rsid w:val="00C40098"/>
    <w:rsid w:val="00C4095D"/>
    <w:rsid w:val="00C41599"/>
    <w:rsid w:val="00C4288E"/>
    <w:rsid w:val="00C436D1"/>
    <w:rsid w:val="00C4554A"/>
    <w:rsid w:val="00C45FAA"/>
    <w:rsid w:val="00C476D0"/>
    <w:rsid w:val="00C54ABB"/>
    <w:rsid w:val="00C55485"/>
    <w:rsid w:val="00C577D2"/>
    <w:rsid w:val="00C579BC"/>
    <w:rsid w:val="00C601D2"/>
    <w:rsid w:val="00C64689"/>
    <w:rsid w:val="00C653F2"/>
    <w:rsid w:val="00C65B1F"/>
    <w:rsid w:val="00C65BCC"/>
    <w:rsid w:val="00C662D2"/>
    <w:rsid w:val="00C66970"/>
    <w:rsid w:val="00C67562"/>
    <w:rsid w:val="00C67839"/>
    <w:rsid w:val="00C67BFF"/>
    <w:rsid w:val="00C67E92"/>
    <w:rsid w:val="00C70882"/>
    <w:rsid w:val="00C75620"/>
    <w:rsid w:val="00C8691C"/>
    <w:rsid w:val="00C87274"/>
    <w:rsid w:val="00C87450"/>
    <w:rsid w:val="00C901A8"/>
    <w:rsid w:val="00C92434"/>
    <w:rsid w:val="00C928BE"/>
    <w:rsid w:val="00C9360B"/>
    <w:rsid w:val="00C9563B"/>
    <w:rsid w:val="00C962B8"/>
    <w:rsid w:val="00C96B3B"/>
    <w:rsid w:val="00CA168A"/>
    <w:rsid w:val="00CA357E"/>
    <w:rsid w:val="00CA44F9"/>
    <w:rsid w:val="00CA4A69"/>
    <w:rsid w:val="00CA7C1D"/>
    <w:rsid w:val="00CA7D93"/>
    <w:rsid w:val="00CB05CF"/>
    <w:rsid w:val="00CB0B8F"/>
    <w:rsid w:val="00CB36DD"/>
    <w:rsid w:val="00CC1AA6"/>
    <w:rsid w:val="00CC3E0C"/>
    <w:rsid w:val="00CC41C6"/>
    <w:rsid w:val="00CC4857"/>
    <w:rsid w:val="00CC58D3"/>
    <w:rsid w:val="00CC784D"/>
    <w:rsid w:val="00CD10EF"/>
    <w:rsid w:val="00CD2EBA"/>
    <w:rsid w:val="00CD581E"/>
    <w:rsid w:val="00CD743F"/>
    <w:rsid w:val="00CD7C83"/>
    <w:rsid w:val="00CE1BB8"/>
    <w:rsid w:val="00CE1C42"/>
    <w:rsid w:val="00CE340C"/>
    <w:rsid w:val="00CE3DD0"/>
    <w:rsid w:val="00CE59EC"/>
    <w:rsid w:val="00CF1969"/>
    <w:rsid w:val="00CF262A"/>
    <w:rsid w:val="00CF29E2"/>
    <w:rsid w:val="00CF405D"/>
    <w:rsid w:val="00CF580B"/>
    <w:rsid w:val="00CF64C8"/>
    <w:rsid w:val="00CF78D4"/>
    <w:rsid w:val="00D014AD"/>
    <w:rsid w:val="00D02B90"/>
    <w:rsid w:val="00D0337B"/>
    <w:rsid w:val="00D04688"/>
    <w:rsid w:val="00D079B2"/>
    <w:rsid w:val="00D07B10"/>
    <w:rsid w:val="00D100C7"/>
    <w:rsid w:val="00D10D01"/>
    <w:rsid w:val="00D114E9"/>
    <w:rsid w:val="00D15FAF"/>
    <w:rsid w:val="00D16890"/>
    <w:rsid w:val="00D173EF"/>
    <w:rsid w:val="00D20E4F"/>
    <w:rsid w:val="00D217B1"/>
    <w:rsid w:val="00D22CD1"/>
    <w:rsid w:val="00D231F9"/>
    <w:rsid w:val="00D2424D"/>
    <w:rsid w:val="00D25C62"/>
    <w:rsid w:val="00D3277D"/>
    <w:rsid w:val="00D35965"/>
    <w:rsid w:val="00D35C2E"/>
    <w:rsid w:val="00D369DF"/>
    <w:rsid w:val="00D36A9E"/>
    <w:rsid w:val="00D37727"/>
    <w:rsid w:val="00D4088A"/>
    <w:rsid w:val="00D41D27"/>
    <w:rsid w:val="00D41D75"/>
    <w:rsid w:val="00D429C6"/>
    <w:rsid w:val="00D432B5"/>
    <w:rsid w:val="00D43C18"/>
    <w:rsid w:val="00D43EC7"/>
    <w:rsid w:val="00D44977"/>
    <w:rsid w:val="00D449F5"/>
    <w:rsid w:val="00D44F06"/>
    <w:rsid w:val="00D46104"/>
    <w:rsid w:val="00D4614A"/>
    <w:rsid w:val="00D47748"/>
    <w:rsid w:val="00D4782F"/>
    <w:rsid w:val="00D47BC9"/>
    <w:rsid w:val="00D542FC"/>
    <w:rsid w:val="00D547D3"/>
    <w:rsid w:val="00D54CC3"/>
    <w:rsid w:val="00D55984"/>
    <w:rsid w:val="00D56742"/>
    <w:rsid w:val="00D56E9D"/>
    <w:rsid w:val="00D56F60"/>
    <w:rsid w:val="00D60189"/>
    <w:rsid w:val="00D6041A"/>
    <w:rsid w:val="00D61093"/>
    <w:rsid w:val="00D61EBF"/>
    <w:rsid w:val="00D624E4"/>
    <w:rsid w:val="00D633EB"/>
    <w:rsid w:val="00D6520A"/>
    <w:rsid w:val="00D653C1"/>
    <w:rsid w:val="00D656B9"/>
    <w:rsid w:val="00D66B17"/>
    <w:rsid w:val="00D678B5"/>
    <w:rsid w:val="00D70293"/>
    <w:rsid w:val="00D727AE"/>
    <w:rsid w:val="00D72DEF"/>
    <w:rsid w:val="00D743E8"/>
    <w:rsid w:val="00D75015"/>
    <w:rsid w:val="00D759C1"/>
    <w:rsid w:val="00D76177"/>
    <w:rsid w:val="00D808E7"/>
    <w:rsid w:val="00D82FF7"/>
    <w:rsid w:val="00D83B4A"/>
    <w:rsid w:val="00D84468"/>
    <w:rsid w:val="00D847FE"/>
    <w:rsid w:val="00D85E82"/>
    <w:rsid w:val="00D86031"/>
    <w:rsid w:val="00D90BA6"/>
    <w:rsid w:val="00D90FDD"/>
    <w:rsid w:val="00D91D7F"/>
    <w:rsid w:val="00D925F8"/>
    <w:rsid w:val="00D945F6"/>
    <w:rsid w:val="00D94EFA"/>
    <w:rsid w:val="00D964EA"/>
    <w:rsid w:val="00D966D0"/>
    <w:rsid w:val="00DA0BD9"/>
    <w:rsid w:val="00DA0C59"/>
    <w:rsid w:val="00DA0DC2"/>
    <w:rsid w:val="00DA1913"/>
    <w:rsid w:val="00DA1D3B"/>
    <w:rsid w:val="00DA386D"/>
    <w:rsid w:val="00DA3991"/>
    <w:rsid w:val="00DA46A5"/>
    <w:rsid w:val="00DA5D8C"/>
    <w:rsid w:val="00DA6E28"/>
    <w:rsid w:val="00DB0879"/>
    <w:rsid w:val="00DB08CD"/>
    <w:rsid w:val="00DB2C2C"/>
    <w:rsid w:val="00DB3166"/>
    <w:rsid w:val="00DB6A68"/>
    <w:rsid w:val="00DB7E6C"/>
    <w:rsid w:val="00DC2D0F"/>
    <w:rsid w:val="00DC3171"/>
    <w:rsid w:val="00DC4684"/>
    <w:rsid w:val="00DC6328"/>
    <w:rsid w:val="00DD0257"/>
    <w:rsid w:val="00DD15BC"/>
    <w:rsid w:val="00DD1D4A"/>
    <w:rsid w:val="00DD2310"/>
    <w:rsid w:val="00DD3EA9"/>
    <w:rsid w:val="00DD43DD"/>
    <w:rsid w:val="00DD5A29"/>
    <w:rsid w:val="00DD5D9D"/>
    <w:rsid w:val="00DD6C55"/>
    <w:rsid w:val="00DD7354"/>
    <w:rsid w:val="00DE1202"/>
    <w:rsid w:val="00DE35CB"/>
    <w:rsid w:val="00DE4A88"/>
    <w:rsid w:val="00DE4D7C"/>
    <w:rsid w:val="00DE6E45"/>
    <w:rsid w:val="00DE7054"/>
    <w:rsid w:val="00DF005F"/>
    <w:rsid w:val="00DF20C1"/>
    <w:rsid w:val="00DF21E9"/>
    <w:rsid w:val="00DF2BBF"/>
    <w:rsid w:val="00DF4018"/>
    <w:rsid w:val="00DF6855"/>
    <w:rsid w:val="00DF6900"/>
    <w:rsid w:val="00DF7336"/>
    <w:rsid w:val="00DF76B0"/>
    <w:rsid w:val="00E001DF"/>
    <w:rsid w:val="00E00722"/>
    <w:rsid w:val="00E00F14"/>
    <w:rsid w:val="00E0262F"/>
    <w:rsid w:val="00E047BE"/>
    <w:rsid w:val="00E058B4"/>
    <w:rsid w:val="00E06386"/>
    <w:rsid w:val="00E1290D"/>
    <w:rsid w:val="00E139FB"/>
    <w:rsid w:val="00E2005F"/>
    <w:rsid w:val="00E220C6"/>
    <w:rsid w:val="00E238F6"/>
    <w:rsid w:val="00E24EB4"/>
    <w:rsid w:val="00E2513E"/>
    <w:rsid w:val="00E26752"/>
    <w:rsid w:val="00E270B8"/>
    <w:rsid w:val="00E30762"/>
    <w:rsid w:val="00E312B5"/>
    <w:rsid w:val="00E3151C"/>
    <w:rsid w:val="00E320ED"/>
    <w:rsid w:val="00E33316"/>
    <w:rsid w:val="00E33AFB"/>
    <w:rsid w:val="00E34218"/>
    <w:rsid w:val="00E357A2"/>
    <w:rsid w:val="00E368C8"/>
    <w:rsid w:val="00E37608"/>
    <w:rsid w:val="00E40AB8"/>
    <w:rsid w:val="00E41AE9"/>
    <w:rsid w:val="00E43837"/>
    <w:rsid w:val="00E44692"/>
    <w:rsid w:val="00E46282"/>
    <w:rsid w:val="00E46541"/>
    <w:rsid w:val="00E51C55"/>
    <w:rsid w:val="00E5216E"/>
    <w:rsid w:val="00E52B27"/>
    <w:rsid w:val="00E53418"/>
    <w:rsid w:val="00E561E8"/>
    <w:rsid w:val="00E642DE"/>
    <w:rsid w:val="00E654AF"/>
    <w:rsid w:val="00E66E5B"/>
    <w:rsid w:val="00E67A9F"/>
    <w:rsid w:val="00E705C8"/>
    <w:rsid w:val="00E70766"/>
    <w:rsid w:val="00E7420E"/>
    <w:rsid w:val="00E75709"/>
    <w:rsid w:val="00E75AD4"/>
    <w:rsid w:val="00E80F1F"/>
    <w:rsid w:val="00E82344"/>
    <w:rsid w:val="00E82369"/>
    <w:rsid w:val="00E83509"/>
    <w:rsid w:val="00E839DE"/>
    <w:rsid w:val="00E8442F"/>
    <w:rsid w:val="00E84C82"/>
    <w:rsid w:val="00E84D64"/>
    <w:rsid w:val="00E87408"/>
    <w:rsid w:val="00E874C9"/>
    <w:rsid w:val="00E87772"/>
    <w:rsid w:val="00E90284"/>
    <w:rsid w:val="00E90798"/>
    <w:rsid w:val="00E914C4"/>
    <w:rsid w:val="00E92995"/>
    <w:rsid w:val="00E93009"/>
    <w:rsid w:val="00E934F5"/>
    <w:rsid w:val="00E94050"/>
    <w:rsid w:val="00E966CF"/>
    <w:rsid w:val="00E966FF"/>
    <w:rsid w:val="00E96961"/>
    <w:rsid w:val="00E96D7A"/>
    <w:rsid w:val="00E9746C"/>
    <w:rsid w:val="00E97619"/>
    <w:rsid w:val="00E978BD"/>
    <w:rsid w:val="00E97AFE"/>
    <w:rsid w:val="00EA05AF"/>
    <w:rsid w:val="00EA0B5B"/>
    <w:rsid w:val="00EA62E4"/>
    <w:rsid w:val="00EA72EC"/>
    <w:rsid w:val="00EA74E6"/>
    <w:rsid w:val="00EB0113"/>
    <w:rsid w:val="00EB11CB"/>
    <w:rsid w:val="00EB17D5"/>
    <w:rsid w:val="00EB1A8E"/>
    <w:rsid w:val="00EB275A"/>
    <w:rsid w:val="00EB3BC3"/>
    <w:rsid w:val="00EB4E7A"/>
    <w:rsid w:val="00EB4FD0"/>
    <w:rsid w:val="00EB6AFD"/>
    <w:rsid w:val="00EB7688"/>
    <w:rsid w:val="00EB786A"/>
    <w:rsid w:val="00EB78FE"/>
    <w:rsid w:val="00EC1578"/>
    <w:rsid w:val="00EC19F8"/>
    <w:rsid w:val="00EC1C72"/>
    <w:rsid w:val="00EC24F1"/>
    <w:rsid w:val="00EC2FD0"/>
    <w:rsid w:val="00EC3564"/>
    <w:rsid w:val="00EC3CC9"/>
    <w:rsid w:val="00EC4A7D"/>
    <w:rsid w:val="00EC4F5D"/>
    <w:rsid w:val="00EC50DF"/>
    <w:rsid w:val="00EC5CEA"/>
    <w:rsid w:val="00EC610D"/>
    <w:rsid w:val="00EC680A"/>
    <w:rsid w:val="00EC6EBD"/>
    <w:rsid w:val="00EC7C10"/>
    <w:rsid w:val="00EC7E3B"/>
    <w:rsid w:val="00ED25E1"/>
    <w:rsid w:val="00ED353D"/>
    <w:rsid w:val="00ED39D9"/>
    <w:rsid w:val="00ED3A71"/>
    <w:rsid w:val="00ED44C5"/>
    <w:rsid w:val="00EE00CE"/>
    <w:rsid w:val="00EE0DA4"/>
    <w:rsid w:val="00EE0ECB"/>
    <w:rsid w:val="00EE2BED"/>
    <w:rsid w:val="00EE2D70"/>
    <w:rsid w:val="00EE374B"/>
    <w:rsid w:val="00EF026E"/>
    <w:rsid w:val="00EF0B0F"/>
    <w:rsid w:val="00EF14CE"/>
    <w:rsid w:val="00EF1FF7"/>
    <w:rsid w:val="00EF583A"/>
    <w:rsid w:val="00EF6421"/>
    <w:rsid w:val="00EF7E4B"/>
    <w:rsid w:val="00F007A0"/>
    <w:rsid w:val="00F0131B"/>
    <w:rsid w:val="00F01D60"/>
    <w:rsid w:val="00F021CA"/>
    <w:rsid w:val="00F06528"/>
    <w:rsid w:val="00F07A0F"/>
    <w:rsid w:val="00F106AD"/>
    <w:rsid w:val="00F11234"/>
    <w:rsid w:val="00F116EE"/>
    <w:rsid w:val="00F11BB5"/>
    <w:rsid w:val="00F12BC9"/>
    <w:rsid w:val="00F133DB"/>
    <w:rsid w:val="00F13A21"/>
    <w:rsid w:val="00F1417B"/>
    <w:rsid w:val="00F1475F"/>
    <w:rsid w:val="00F14A9E"/>
    <w:rsid w:val="00F2074F"/>
    <w:rsid w:val="00F24251"/>
    <w:rsid w:val="00F312FF"/>
    <w:rsid w:val="00F332E1"/>
    <w:rsid w:val="00F33412"/>
    <w:rsid w:val="00F34B99"/>
    <w:rsid w:val="00F35E39"/>
    <w:rsid w:val="00F3676A"/>
    <w:rsid w:val="00F37213"/>
    <w:rsid w:val="00F422C3"/>
    <w:rsid w:val="00F434F1"/>
    <w:rsid w:val="00F47D75"/>
    <w:rsid w:val="00F51960"/>
    <w:rsid w:val="00F52690"/>
    <w:rsid w:val="00F52DAB"/>
    <w:rsid w:val="00F5321F"/>
    <w:rsid w:val="00F543F0"/>
    <w:rsid w:val="00F630A4"/>
    <w:rsid w:val="00F638C0"/>
    <w:rsid w:val="00F64F03"/>
    <w:rsid w:val="00F654DA"/>
    <w:rsid w:val="00F65893"/>
    <w:rsid w:val="00F659D2"/>
    <w:rsid w:val="00F70214"/>
    <w:rsid w:val="00F70F98"/>
    <w:rsid w:val="00F71F25"/>
    <w:rsid w:val="00F73010"/>
    <w:rsid w:val="00F73BB3"/>
    <w:rsid w:val="00F74362"/>
    <w:rsid w:val="00F74740"/>
    <w:rsid w:val="00F74B3A"/>
    <w:rsid w:val="00F75A22"/>
    <w:rsid w:val="00F75D58"/>
    <w:rsid w:val="00F81AC7"/>
    <w:rsid w:val="00F81BD1"/>
    <w:rsid w:val="00F81D29"/>
    <w:rsid w:val="00F824FC"/>
    <w:rsid w:val="00F856F5"/>
    <w:rsid w:val="00F857C8"/>
    <w:rsid w:val="00F9010F"/>
    <w:rsid w:val="00F91C4D"/>
    <w:rsid w:val="00F92447"/>
    <w:rsid w:val="00F92E0C"/>
    <w:rsid w:val="00F92FD9"/>
    <w:rsid w:val="00F961F7"/>
    <w:rsid w:val="00F96CB4"/>
    <w:rsid w:val="00F97542"/>
    <w:rsid w:val="00FA0EC4"/>
    <w:rsid w:val="00FA2E53"/>
    <w:rsid w:val="00FA355D"/>
    <w:rsid w:val="00FA3977"/>
    <w:rsid w:val="00FA3B15"/>
    <w:rsid w:val="00FA3C89"/>
    <w:rsid w:val="00FA559C"/>
    <w:rsid w:val="00FA60AA"/>
    <w:rsid w:val="00FA6684"/>
    <w:rsid w:val="00FA731E"/>
    <w:rsid w:val="00FB0C5D"/>
    <w:rsid w:val="00FB160D"/>
    <w:rsid w:val="00FB233D"/>
    <w:rsid w:val="00FB24C7"/>
    <w:rsid w:val="00FB2B38"/>
    <w:rsid w:val="00FB48F4"/>
    <w:rsid w:val="00FB528D"/>
    <w:rsid w:val="00FC04A3"/>
    <w:rsid w:val="00FC240F"/>
    <w:rsid w:val="00FC2491"/>
    <w:rsid w:val="00FC6358"/>
    <w:rsid w:val="00FC6EBE"/>
    <w:rsid w:val="00FD12CE"/>
    <w:rsid w:val="00FD320D"/>
    <w:rsid w:val="00FD33DA"/>
    <w:rsid w:val="00FD426E"/>
    <w:rsid w:val="00FD46EC"/>
    <w:rsid w:val="00FD47F9"/>
    <w:rsid w:val="00FD4BE3"/>
    <w:rsid w:val="00FD51E8"/>
    <w:rsid w:val="00FD5DCE"/>
    <w:rsid w:val="00FD5EB3"/>
    <w:rsid w:val="00FD7997"/>
    <w:rsid w:val="00FE1042"/>
    <w:rsid w:val="00FE1100"/>
    <w:rsid w:val="00FE23DE"/>
    <w:rsid w:val="00FE23E0"/>
    <w:rsid w:val="00FE4063"/>
    <w:rsid w:val="00FE4E49"/>
    <w:rsid w:val="00FE52D2"/>
    <w:rsid w:val="00FE6171"/>
    <w:rsid w:val="00FE6529"/>
    <w:rsid w:val="00FF03F5"/>
    <w:rsid w:val="00FF04C7"/>
    <w:rsid w:val="00FF0CE1"/>
    <w:rsid w:val="00FF1CE6"/>
    <w:rsid w:val="00FF5B37"/>
    <w:rsid w:val="011D14C5"/>
    <w:rsid w:val="0128502F"/>
    <w:rsid w:val="012E5752"/>
    <w:rsid w:val="01350223"/>
    <w:rsid w:val="01387A49"/>
    <w:rsid w:val="01411E48"/>
    <w:rsid w:val="016E1D17"/>
    <w:rsid w:val="019843B0"/>
    <w:rsid w:val="01AD0692"/>
    <w:rsid w:val="01C5439E"/>
    <w:rsid w:val="01C6623E"/>
    <w:rsid w:val="01EB0527"/>
    <w:rsid w:val="0205273D"/>
    <w:rsid w:val="02054BFD"/>
    <w:rsid w:val="022D078E"/>
    <w:rsid w:val="02611511"/>
    <w:rsid w:val="02643C6E"/>
    <w:rsid w:val="028E72FE"/>
    <w:rsid w:val="02B1672C"/>
    <w:rsid w:val="02BA25D1"/>
    <w:rsid w:val="02F656DD"/>
    <w:rsid w:val="02F71B43"/>
    <w:rsid w:val="02FB1162"/>
    <w:rsid w:val="030C7F4E"/>
    <w:rsid w:val="033469B5"/>
    <w:rsid w:val="03792E45"/>
    <w:rsid w:val="03C95272"/>
    <w:rsid w:val="03CC6F29"/>
    <w:rsid w:val="03DE7CAB"/>
    <w:rsid w:val="03EE510A"/>
    <w:rsid w:val="040659A8"/>
    <w:rsid w:val="040B4037"/>
    <w:rsid w:val="04164910"/>
    <w:rsid w:val="041A3914"/>
    <w:rsid w:val="041F5111"/>
    <w:rsid w:val="04344AD3"/>
    <w:rsid w:val="044F16F3"/>
    <w:rsid w:val="045B419F"/>
    <w:rsid w:val="046C12B8"/>
    <w:rsid w:val="048675EC"/>
    <w:rsid w:val="048D4192"/>
    <w:rsid w:val="04963B2F"/>
    <w:rsid w:val="049C2217"/>
    <w:rsid w:val="04A4396F"/>
    <w:rsid w:val="04B76023"/>
    <w:rsid w:val="04C87864"/>
    <w:rsid w:val="04CB087A"/>
    <w:rsid w:val="04CE60B5"/>
    <w:rsid w:val="04DE2757"/>
    <w:rsid w:val="04EA5991"/>
    <w:rsid w:val="0518120E"/>
    <w:rsid w:val="05192C7E"/>
    <w:rsid w:val="051B2AED"/>
    <w:rsid w:val="052B792D"/>
    <w:rsid w:val="0532463E"/>
    <w:rsid w:val="053C72A9"/>
    <w:rsid w:val="053E48E4"/>
    <w:rsid w:val="05467D77"/>
    <w:rsid w:val="055837F1"/>
    <w:rsid w:val="055E3CC2"/>
    <w:rsid w:val="05766CE1"/>
    <w:rsid w:val="05B20375"/>
    <w:rsid w:val="05C912EB"/>
    <w:rsid w:val="05D12B3B"/>
    <w:rsid w:val="062930E4"/>
    <w:rsid w:val="065B595D"/>
    <w:rsid w:val="0669274D"/>
    <w:rsid w:val="069B4DC2"/>
    <w:rsid w:val="06F52E60"/>
    <w:rsid w:val="06F93FEE"/>
    <w:rsid w:val="07233881"/>
    <w:rsid w:val="07696770"/>
    <w:rsid w:val="07793C20"/>
    <w:rsid w:val="07852DD4"/>
    <w:rsid w:val="079F2FED"/>
    <w:rsid w:val="07DD798D"/>
    <w:rsid w:val="07DE00F8"/>
    <w:rsid w:val="07EC3BDB"/>
    <w:rsid w:val="07EC79FA"/>
    <w:rsid w:val="08235234"/>
    <w:rsid w:val="08255843"/>
    <w:rsid w:val="085E2EC4"/>
    <w:rsid w:val="086F3D95"/>
    <w:rsid w:val="0871547B"/>
    <w:rsid w:val="08A46D38"/>
    <w:rsid w:val="08B51079"/>
    <w:rsid w:val="08BB5E0E"/>
    <w:rsid w:val="08DF613A"/>
    <w:rsid w:val="09047F5F"/>
    <w:rsid w:val="09152A49"/>
    <w:rsid w:val="094C6622"/>
    <w:rsid w:val="094F2D8C"/>
    <w:rsid w:val="09607AF1"/>
    <w:rsid w:val="0966594E"/>
    <w:rsid w:val="09903FA1"/>
    <w:rsid w:val="09D14288"/>
    <w:rsid w:val="09E857A0"/>
    <w:rsid w:val="0A0B1514"/>
    <w:rsid w:val="0A3B3BA3"/>
    <w:rsid w:val="0A464A60"/>
    <w:rsid w:val="0A481E7F"/>
    <w:rsid w:val="0A4F6676"/>
    <w:rsid w:val="0A655571"/>
    <w:rsid w:val="0A857ED7"/>
    <w:rsid w:val="0ABC55F5"/>
    <w:rsid w:val="0ACC4B63"/>
    <w:rsid w:val="0ACF53D8"/>
    <w:rsid w:val="0AEE6644"/>
    <w:rsid w:val="0B1307BF"/>
    <w:rsid w:val="0B483798"/>
    <w:rsid w:val="0B5F3385"/>
    <w:rsid w:val="0B7D0EB5"/>
    <w:rsid w:val="0B89593B"/>
    <w:rsid w:val="0B9710B8"/>
    <w:rsid w:val="0B9D78DC"/>
    <w:rsid w:val="0BBF6171"/>
    <w:rsid w:val="0BF534A7"/>
    <w:rsid w:val="0C1E0F1E"/>
    <w:rsid w:val="0C2475B0"/>
    <w:rsid w:val="0C337893"/>
    <w:rsid w:val="0C3C380F"/>
    <w:rsid w:val="0C4B4ACD"/>
    <w:rsid w:val="0C555B77"/>
    <w:rsid w:val="0C845FFB"/>
    <w:rsid w:val="0C8A7AF5"/>
    <w:rsid w:val="0CA442D3"/>
    <w:rsid w:val="0CBB2411"/>
    <w:rsid w:val="0D215A30"/>
    <w:rsid w:val="0D294ABB"/>
    <w:rsid w:val="0D4B2B99"/>
    <w:rsid w:val="0D515E1D"/>
    <w:rsid w:val="0D6453C0"/>
    <w:rsid w:val="0D686319"/>
    <w:rsid w:val="0D7275C1"/>
    <w:rsid w:val="0D894C75"/>
    <w:rsid w:val="0DA9688F"/>
    <w:rsid w:val="0DFF619F"/>
    <w:rsid w:val="0E0B5541"/>
    <w:rsid w:val="0E4463F6"/>
    <w:rsid w:val="0E4D5D2E"/>
    <w:rsid w:val="0E6B40BB"/>
    <w:rsid w:val="0E9F7907"/>
    <w:rsid w:val="0EDC3405"/>
    <w:rsid w:val="0EE70121"/>
    <w:rsid w:val="0F015041"/>
    <w:rsid w:val="0F016DFC"/>
    <w:rsid w:val="0F1B2AFB"/>
    <w:rsid w:val="0F222A84"/>
    <w:rsid w:val="0F3862C9"/>
    <w:rsid w:val="0F3D1404"/>
    <w:rsid w:val="0F476E72"/>
    <w:rsid w:val="0FA67428"/>
    <w:rsid w:val="0FBB2833"/>
    <w:rsid w:val="0FBC7598"/>
    <w:rsid w:val="0FC40DF2"/>
    <w:rsid w:val="0FCA3923"/>
    <w:rsid w:val="0FE7661C"/>
    <w:rsid w:val="100A6B86"/>
    <w:rsid w:val="10160B6F"/>
    <w:rsid w:val="101D6CA9"/>
    <w:rsid w:val="104B4A31"/>
    <w:rsid w:val="10586A5A"/>
    <w:rsid w:val="10692A77"/>
    <w:rsid w:val="10772461"/>
    <w:rsid w:val="10877364"/>
    <w:rsid w:val="108A2BE9"/>
    <w:rsid w:val="10A027D7"/>
    <w:rsid w:val="10C23086"/>
    <w:rsid w:val="10CF66B8"/>
    <w:rsid w:val="10FA4D1A"/>
    <w:rsid w:val="114870EB"/>
    <w:rsid w:val="115B06AC"/>
    <w:rsid w:val="115C283F"/>
    <w:rsid w:val="11645B05"/>
    <w:rsid w:val="11CB7BA0"/>
    <w:rsid w:val="11CD1047"/>
    <w:rsid w:val="11D330DD"/>
    <w:rsid w:val="12083769"/>
    <w:rsid w:val="120E776D"/>
    <w:rsid w:val="121B2346"/>
    <w:rsid w:val="123D0DE3"/>
    <w:rsid w:val="127112B8"/>
    <w:rsid w:val="128C0694"/>
    <w:rsid w:val="129E6E6A"/>
    <w:rsid w:val="12BE60AF"/>
    <w:rsid w:val="12C26D58"/>
    <w:rsid w:val="12CC2688"/>
    <w:rsid w:val="12D6271E"/>
    <w:rsid w:val="12E95991"/>
    <w:rsid w:val="13177213"/>
    <w:rsid w:val="13282924"/>
    <w:rsid w:val="132A4054"/>
    <w:rsid w:val="1339435A"/>
    <w:rsid w:val="136A0ABC"/>
    <w:rsid w:val="136F2497"/>
    <w:rsid w:val="1399774F"/>
    <w:rsid w:val="13AB2999"/>
    <w:rsid w:val="13B57F41"/>
    <w:rsid w:val="13D95128"/>
    <w:rsid w:val="140F1DF4"/>
    <w:rsid w:val="142A5DA6"/>
    <w:rsid w:val="14366892"/>
    <w:rsid w:val="143F7524"/>
    <w:rsid w:val="1440135D"/>
    <w:rsid w:val="145A526C"/>
    <w:rsid w:val="145C4050"/>
    <w:rsid w:val="1464638E"/>
    <w:rsid w:val="148A46D1"/>
    <w:rsid w:val="14A4777D"/>
    <w:rsid w:val="14A97A49"/>
    <w:rsid w:val="14AB196A"/>
    <w:rsid w:val="14F41663"/>
    <w:rsid w:val="151D4B1C"/>
    <w:rsid w:val="1559491B"/>
    <w:rsid w:val="1592088D"/>
    <w:rsid w:val="161F43DC"/>
    <w:rsid w:val="162052E9"/>
    <w:rsid w:val="1632554E"/>
    <w:rsid w:val="16851497"/>
    <w:rsid w:val="168D4484"/>
    <w:rsid w:val="169162D1"/>
    <w:rsid w:val="169546DA"/>
    <w:rsid w:val="16AA11F5"/>
    <w:rsid w:val="16C355A4"/>
    <w:rsid w:val="16D96A46"/>
    <w:rsid w:val="16FC06C5"/>
    <w:rsid w:val="16FC5ADF"/>
    <w:rsid w:val="16FD50DC"/>
    <w:rsid w:val="16FE1C4A"/>
    <w:rsid w:val="16FF6141"/>
    <w:rsid w:val="174721D6"/>
    <w:rsid w:val="17487F44"/>
    <w:rsid w:val="176369FF"/>
    <w:rsid w:val="17674042"/>
    <w:rsid w:val="17777FE1"/>
    <w:rsid w:val="1788564D"/>
    <w:rsid w:val="179177B3"/>
    <w:rsid w:val="17A632A6"/>
    <w:rsid w:val="17D14604"/>
    <w:rsid w:val="17D25666"/>
    <w:rsid w:val="17DD1FAD"/>
    <w:rsid w:val="17F207C3"/>
    <w:rsid w:val="17F279EC"/>
    <w:rsid w:val="17FD47F7"/>
    <w:rsid w:val="18100528"/>
    <w:rsid w:val="182319FB"/>
    <w:rsid w:val="183245F1"/>
    <w:rsid w:val="183F2B14"/>
    <w:rsid w:val="184E2D57"/>
    <w:rsid w:val="186213BF"/>
    <w:rsid w:val="18BB0716"/>
    <w:rsid w:val="18BF1ED4"/>
    <w:rsid w:val="18C6677E"/>
    <w:rsid w:val="18CE007F"/>
    <w:rsid w:val="18E5008D"/>
    <w:rsid w:val="18E54A88"/>
    <w:rsid w:val="18ED344F"/>
    <w:rsid w:val="192E60FF"/>
    <w:rsid w:val="194206C3"/>
    <w:rsid w:val="1970331A"/>
    <w:rsid w:val="197161D0"/>
    <w:rsid w:val="19986FAF"/>
    <w:rsid w:val="199F0D17"/>
    <w:rsid w:val="19A1302D"/>
    <w:rsid w:val="19BB3D2E"/>
    <w:rsid w:val="19CD0D53"/>
    <w:rsid w:val="19D866B2"/>
    <w:rsid w:val="19E900E3"/>
    <w:rsid w:val="1A035792"/>
    <w:rsid w:val="1A0B1A48"/>
    <w:rsid w:val="1A187AC0"/>
    <w:rsid w:val="1A372109"/>
    <w:rsid w:val="1A443A12"/>
    <w:rsid w:val="1A5D6D0E"/>
    <w:rsid w:val="1A7565DF"/>
    <w:rsid w:val="1AA437AA"/>
    <w:rsid w:val="1AA90D83"/>
    <w:rsid w:val="1AAC209F"/>
    <w:rsid w:val="1AAE5274"/>
    <w:rsid w:val="1AD5112A"/>
    <w:rsid w:val="1AEA5B9B"/>
    <w:rsid w:val="1AF1554C"/>
    <w:rsid w:val="1B016AF3"/>
    <w:rsid w:val="1B0B25E1"/>
    <w:rsid w:val="1B11473F"/>
    <w:rsid w:val="1B1A1064"/>
    <w:rsid w:val="1B434E0C"/>
    <w:rsid w:val="1B5411AA"/>
    <w:rsid w:val="1B825500"/>
    <w:rsid w:val="1B854937"/>
    <w:rsid w:val="1BB24D15"/>
    <w:rsid w:val="1BC130E5"/>
    <w:rsid w:val="1BC667AA"/>
    <w:rsid w:val="1BD549DC"/>
    <w:rsid w:val="1BE23FA4"/>
    <w:rsid w:val="1BF15B3E"/>
    <w:rsid w:val="1BFC4F33"/>
    <w:rsid w:val="1C1151F3"/>
    <w:rsid w:val="1C287606"/>
    <w:rsid w:val="1C2B4F24"/>
    <w:rsid w:val="1C3A61BC"/>
    <w:rsid w:val="1C6A66C4"/>
    <w:rsid w:val="1C7815F5"/>
    <w:rsid w:val="1C875CF8"/>
    <w:rsid w:val="1C98404E"/>
    <w:rsid w:val="1CAD1ECA"/>
    <w:rsid w:val="1CAD647E"/>
    <w:rsid w:val="1CF245F9"/>
    <w:rsid w:val="1D1367EE"/>
    <w:rsid w:val="1D205BD0"/>
    <w:rsid w:val="1D2A2251"/>
    <w:rsid w:val="1D634935"/>
    <w:rsid w:val="1D7F67FE"/>
    <w:rsid w:val="1DA74740"/>
    <w:rsid w:val="1DAD731F"/>
    <w:rsid w:val="1DB426EA"/>
    <w:rsid w:val="1DB47CB8"/>
    <w:rsid w:val="1DBA1298"/>
    <w:rsid w:val="1DDC1089"/>
    <w:rsid w:val="1DE64009"/>
    <w:rsid w:val="1DEA0F3C"/>
    <w:rsid w:val="1E01584C"/>
    <w:rsid w:val="1E0475D0"/>
    <w:rsid w:val="1E05715D"/>
    <w:rsid w:val="1E0738A7"/>
    <w:rsid w:val="1E0A0BC4"/>
    <w:rsid w:val="1E237F8F"/>
    <w:rsid w:val="1E292487"/>
    <w:rsid w:val="1E3A0020"/>
    <w:rsid w:val="1E502AA0"/>
    <w:rsid w:val="1E5E7EF8"/>
    <w:rsid w:val="1E692060"/>
    <w:rsid w:val="1E743F7F"/>
    <w:rsid w:val="1E7D69F4"/>
    <w:rsid w:val="1E9B4053"/>
    <w:rsid w:val="1EB41D1F"/>
    <w:rsid w:val="1EC12B17"/>
    <w:rsid w:val="1EE707A1"/>
    <w:rsid w:val="1EEC7364"/>
    <w:rsid w:val="1F171AC9"/>
    <w:rsid w:val="1F253827"/>
    <w:rsid w:val="1F4B1B96"/>
    <w:rsid w:val="1F507D50"/>
    <w:rsid w:val="1F512138"/>
    <w:rsid w:val="1F54634C"/>
    <w:rsid w:val="1F5844BB"/>
    <w:rsid w:val="1F5D550C"/>
    <w:rsid w:val="1F697065"/>
    <w:rsid w:val="1F816BE5"/>
    <w:rsid w:val="1F8A3900"/>
    <w:rsid w:val="1FBB4CC5"/>
    <w:rsid w:val="1FCC5789"/>
    <w:rsid w:val="200958D0"/>
    <w:rsid w:val="20114A36"/>
    <w:rsid w:val="204378DE"/>
    <w:rsid w:val="20856A9D"/>
    <w:rsid w:val="20AA16A8"/>
    <w:rsid w:val="20AA269E"/>
    <w:rsid w:val="20BC7684"/>
    <w:rsid w:val="20C1226A"/>
    <w:rsid w:val="20E86EA0"/>
    <w:rsid w:val="20F01833"/>
    <w:rsid w:val="212F53EC"/>
    <w:rsid w:val="21667A82"/>
    <w:rsid w:val="217C2DD7"/>
    <w:rsid w:val="21C8426F"/>
    <w:rsid w:val="21F03FBD"/>
    <w:rsid w:val="22192226"/>
    <w:rsid w:val="22364D0B"/>
    <w:rsid w:val="22455FB0"/>
    <w:rsid w:val="22573FB8"/>
    <w:rsid w:val="22576556"/>
    <w:rsid w:val="2270364B"/>
    <w:rsid w:val="22776FDA"/>
    <w:rsid w:val="227F2D4E"/>
    <w:rsid w:val="2297714E"/>
    <w:rsid w:val="229D253C"/>
    <w:rsid w:val="22A74FD9"/>
    <w:rsid w:val="22BF0DB4"/>
    <w:rsid w:val="22C861FE"/>
    <w:rsid w:val="230F20C9"/>
    <w:rsid w:val="2322213C"/>
    <w:rsid w:val="232F7850"/>
    <w:rsid w:val="23532B79"/>
    <w:rsid w:val="23740BF1"/>
    <w:rsid w:val="2382337A"/>
    <w:rsid w:val="239846E5"/>
    <w:rsid w:val="23A96E87"/>
    <w:rsid w:val="23D228A2"/>
    <w:rsid w:val="23D80277"/>
    <w:rsid w:val="23D95C1E"/>
    <w:rsid w:val="23DA4802"/>
    <w:rsid w:val="23DA5729"/>
    <w:rsid w:val="23DB122C"/>
    <w:rsid w:val="23E20838"/>
    <w:rsid w:val="23F44CCB"/>
    <w:rsid w:val="241666D4"/>
    <w:rsid w:val="242405BA"/>
    <w:rsid w:val="243926AC"/>
    <w:rsid w:val="243F3BE3"/>
    <w:rsid w:val="246C4DF3"/>
    <w:rsid w:val="249B148E"/>
    <w:rsid w:val="24AF2702"/>
    <w:rsid w:val="251324F0"/>
    <w:rsid w:val="252F4C10"/>
    <w:rsid w:val="25375F30"/>
    <w:rsid w:val="253D5507"/>
    <w:rsid w:val="25415682"/>
    <w:rsid w:val="25442C59"/>
    <w:rsid w:val="254A5788"/>
    <w:rsid w:val="25780385"/>
    <w:rsid w:val="25B47A4B"/>
    <w:rsid w:val="25B632BF"/>
    <w:rsid w:val="25BC5E7E"/>
    <w:rsid w:val="25D15387"/>
    <w:rsid w:val="26117444"/>
    <w:rsid w:val="261F6868"/>
    <w:rsid w:val="262C6246"/>
    <w:rsid w:val="264E5E07"/>
    <w:rsid w:val="26524D3F"/>
    <w:rsid w:val="266515D4"/>
    <w:rsid w:val="26967922"/>
    <w:rsid w:val="269A0626"/>
    <w:rsid w:val="26A21074"/>
    <w:rsid w:val="26A74FC1"/>
    <w:rsid w:val="26CF1AAF"/>
    <w:rsid w:val="270E3C74"/>
    <w:rsid w:val="272306EC"/>
    <w:rsid w:val="27514612"/>
    <w:rsid w:val="27815D95"/>
    <w:rsid w:val="278D061B"/>
    <w:rsid w:val="27973A30"/>
    <w:rsid w:val="27FA49B5"/>
    <w:rsid w:val="28302CE4"/>
    <w:rsid w:val="28A167C0"/>
    <w:rsid w:val="28E4556F"/>
    <w:rsid w:val="294645B3"/>
    <w:rsid w:val="29480B18"/>
    <w:rsid w:val="294A3CF5"/>
    <w:rsid w:val="29735A9D"/>
    <w:rsid w:val="29845B6A"/>
    <w:rsid w:val="299F4BA4"/>
    <w:rsid w:val="29C46792"/>
    <w:rsid w:val="29C52AE8"/>
    <w:rsid w:val="29C92C11"/>
    <w:rsid w:val="29D8569D"/>
    <w:rsid w:val="29F50301"/>
    <w:rsid w:val="2A042A7D"/>
    <w:rsid w:val="2A092631"/>
    <w:rsid w:val="2A512DEB"/>
    <w:rsid w:val="2A753605"/>
    <w:rsid w:val="2A7577D0"/>
    <w:rsid w:val="2AB745E3"/>
    <w:rsid w:val="2AD73080"/>
    <w:rsid w:val="2AD93FE9"/>
    <w:rsid w:val="2AFC08BF"/>
    <w:rsid w:val="2B1671A4"/>
    <w:rsid w:val="2B173C6D"/>
    <w:rsid w:val="2B2B4CDC"/>
    <w:rsid w:val="2B342D4D"/>
    <w:rsid w:val="2B3757AD"/>
    <w:rsid w:val="2B574B28"/>
    <w:rsid w:val="2B633DBC"/>
    <w:rsid w:val="2B6C0B48"/>
    <w:rsid w:val="2B712742"/>
    <w:rsid w:val="2BDA7C69"/>
    <w:rsid w:val="2BDC34E5"/>
    <w:rsid w:val="2C02380D"/>
    <w:rsid w:val="2C0E7230"/>
    <w:rsid w:val="2C471AB6"/>
    <w:rsid w:val="2C727E7A"/>
    <w:rsid w:val="2C757F54"/>
    <w:rsid w:val="2C7D05E4"/>
    <w:rsid w:val="2C7D5D27"/>
    <w:rsid w:val="2C872154"/>
    <w:rsid w:val="2C8F4AB6"/>
    <w:rsid w:val="2C965663"/>
    <w:rsid w:val="2C9735A2"/>
    <w:rsid w:val="2C9F0486"/>
    <w:rsid w:val="2CB21958"/>
    <w:rsid w:val="2CB73169"/>
    <w:rsid w:val="2CD0439C"/>
    <w:rsid w:val="2CD728E8"/>
    <w:rsid w:val="2CD81FD0"/>
    <w:rsid w:val="2CDB0E89"/>
    <w:rsid w:val="2CFF066C"/>
    <w:rsid w:val="2D1A7C0A"/>
    <w:rsid w:val="2D1F5E53"/>
    <w:rsid w:val="2D3062C5"/>
    <w:rsid w:val="2D482B60"/>
    <w:rsid w:val="2D5024A1"/>
    <w:rsid w:val="2D504A62"/>
    <w:rsid w:val="2D553CE2"/>
    <w:rsid w:val="2D834A13"/>
    <w:rsid w:val="2D8E4AFB"/>
    <w:rsid w:val="2DAF4214"/>
    <w:rsid w:val="2DB039F9"/>
    <w:rsid w:val="2DB8586B"/>
    <w:rsid w:val="2DE41881"/>
    <w:rsid w:val="2DE700B2"/>
    <w:rsid w:val="2E046383"/>
    <w:rsid w:val="2E092FC1"/>
    <w:rsid w:val="2E275C27"/>
    <w:rsid w:val="2E2B5C9F"/>
    <w:rsid w:val="2E5262C4"/>
    <w:rsid w:val="2E5642BC"/>
    <w:rsid w:val="2E9C71A3"/>
    <w:rsid w:val="2EA07DD2"/>
    <w:rsid w:val="2EA5122A"/>
    <w:rsid w:val="2EB24E04"/>
    <w:rsid w:val="2EBD11F7"/>
    <w:rsid w:val="2EC4391B"/>
    <w:rsid w:val="2F02059B"/>
    <w:rsid w:val="2F2332FE"/>
    <w:rsid w:val="2F252AC8"/>
    <w:rsid w:val="2F3546CB"/>
    <w:rsid w:val="2FA65F3C"/>
    <w:rsid w:val="2FAD3525"/>
    <w:rsid w:val="2FDC7EBA"/>
    <w:rsid w:val="30022B9E"/>
    <w:rsid w:val="30530001"/>
    <w:rsid w:val="3067254A"/>
    <w:rsid w:val="306C1945"/>
    <w:rsid w:val="307C63EE"/>
    <w:rsid w:val="307E6A65"/>
    <w:rsid w:val="308E14BB"/>
    <w:rsid w:val="30933F9D"/>
    <w:rsid w:val="30967E39"/>
    <w:rsid w:val="30B867F2"/>
    <w:rsid w:val="30C26E3C"/>
    <w:rsid w:val="30F511EE"/>
    <w:rsid w:val="30F8387C"/>
    <w:rsid w:val="310A2571"/>
    <w:rsid w:val="31240662"/>
    <w:rsid w:val="316B2718"/>
    <w:rsid w:val="3171346A"/>
    <w:rsid w:val="31940FA6"/>
    <w:rsid w:val="319B309A"/>
    <w:rsid w:val="31A53784"/>
    <w:rsid w:val="31BA010C"/>
    <w:rsid w:val="31BD58CD"/>
    <w:rsid w:val="31D311E9"/>
    <w:rsid w:val="32187CDE"/>
    <w:rsid w:val="321A1441"/>
    <w:rsid w:val="322E46C4"/>
    <w:rsid w:val="324C251D"/>
    <w:rsid w:val="32505E37"/>
    <w:rsid w:val="32894560"/>
    <w:rsid w:val="32981509"/>
    <w:rsid w:val="329C6B92"/>
    <w:rsid w:val="32A1719C"/>
    <w:rsid w:val="32BD544B"/>
    <w:rsid w:val="32CC67FD"/>
    <w:rsid w:val="32D87FFF"/>
    <w:rsid w:val="32E3409C"/>
    <w:rsid w:val="32FB75FB"/>
    <w:rsid w:val="331B43E8"/>
    <w:rsid w:val="33300702"/>
    <w:rsid w:val="33333BAF"/>
    <w:rsid w:val="3367361A"/>
    <w:rsid w:val="336953FD"/>
    <w:rsid w:val="33743B62"/>
    <w:rsid w:val="33956C97"/>
    <w:rsid w:val="33986FBF"/>
    <w:rsid w:val="33A70CD7"/>
    <w:rsid w:val="34142156"/>
    <w:rsid w:val="342A500C"/>
    <w:rsid w:val="34377DD1"/>
    <w:rsid w:val="343D3898"/>
    <w:rsid w:val="346916E5"/>
    <w:rsid w:val="3469376C"/>
    <w:rsid w:val="347B626B"/>
    <w:rsid w:val="349C2715"/>
    <w:rsid w:val="34B033A2"/>
    <w:rsid w:val="34BB6AF6"/>
    <w:rsid w:val="34D720CF"/>
    <w:rsid w:val="351F2048"/>
    <w:rsid w:val="35264069"/>
    <w:rsid w:val="353F015F"/>
    <w:rsid w:val="354F0103"/>
    <w:rsid w:val="35533E76"/>
    <w:rsid w:val="35872B6F"/>
    <w:rsid w:val="359231AC"/>
    <w:rsid w:val="359854B7"/>
    <w:rsid w:val="35A2685F"/>
    <w:rsid w:val="35C967A2"/>
    <w:rsid w:val="35EB544B"/>
    <w:rsid w:val="36097D98"/>
    <w:rsid w:val="361715C7"/>
    <w:rsid w:val="36463C3A"/>
    <w:rsid w:val="36592692"/>
    <w:rsid w:val="365C04F5"/>
    <w:rsid w:val="365F2388"/>
    <w:rsid w:val="367E571C"/>
    <w:rsid w:val="368753B1"/>
    <w:rsid w:val="369848BB"/>
    <w:rsid w:val="36CE7A04"/>
    <w:rsid w:val="36E05B00"/>
    <w:rsid w:val="36EA6D42"/>
    <w:rsid w:val="370475C4"/>
    <w:rsid w:val="370E7E29"/>
    <w:rsid w:val="371C6B3E"/>
    <w:rsid w:val="372B5E21"/>
    <w:rsid w:val="372C5E9C"/>
    <w:rsid w:val="37361072"/>
    <w:rsid w:val="37371F1F"/>
    <w:rsid w:val="37505E54"/>
    <w:rsid w:val="375F1D9C"/>
    <w:rsid w:val="37620746"/>
    <w:rsid w:val="378C538C"/>
    <w:rsid w:val="378E562D"/>
    <w:rsid w:val="37A475B9"/>
    <w:rsid w:val="37B25419"/>
    <w:rsid w:val="37D36CA4"/>
    <w:rsid w:val="37D649A5"/>
    <w:rsid w:val="37DB288A"/>
    <w:rsid w:val="37EC3C85"/>
    <w:rsid w:val="37F62D95"/>
    <w:rsid w:val="380E7D37"/>
    <w:rsid w:val="38280AAD"/>
    <w:rsid w:val="383125AD"/>
    <w:rsid w:val="38685317"/>
    <w:rsid w:val="388912FF"/>
    <w:rsid w:val="389067D8"/>
    <w:rsid w:val="38D45BEC"/>
    <w:rsid w:val="39223416"/>
    <w:rsid w:val="392F1161"/>
    <w:rsid w:val="393D691D"/>
    <w:rsid w:val="3977612C"/>
    <w:rsid w:val="39A15EDD"/>
    <w:rsid w:val="39B74552"/>
    <w:rsid w:val="39FD474D"/>
    <w:rsid w:val="3A121508"/>
    <w:rsid w:val="3A182AB1"/>
    <w:rsid w:val="3A3371A5"/>
    <w:rsid w:val="3A6824E9"/>
    <w:rsid w:val="3A8B1AB3"/>
    <w:rsid w:val="3A9141CD"/>
    <w:rsid w:val="3AAA009C"/>
    <w:rsid w:val="3AE5552C"/>
    <w:rsid w:val="3AE96C30"/>
    <w:rsid w:val="3AFD588D"/>
    <w:rsid w:val="3B541C68"/>
    <w:rsid w:val="3B59506F"/>
    <w:rsid w:val="3B5C3372"/>
    <w:rsid w:val="3B6F0630"/>
    <w:rsid w:val="3B8B18CF"/>
    <w:rsid w:val="3B91027D"/>
    <w:rsid w:val="3BA870FA"/>
    <w:rsid w:val="3BD11F82"/>
    <w:rsid w:val="3BE06DC2"/>
    <w:rsid w:val="3BEF756B"/>
    <w:rsid w:val="3C0124E8"/>
    <w:rsid w:val="3C197F76"/>
    <w:rsid w:val="3C1D4BEB"/>
    <w:rsid w:val="3C2E0959"/>
    <w:rsid w:val="3C462189"/>
    <w:rsid w:val="3C9515DC"/>
    <w:rsid w:val="3CA4713A"/>
    <w:rsid w:val="3D2A5B87"/>
    <w:rsid w:val="3D543766"/>
    <w:rsid w:val="3D797620"/>
    <w:rsid w:val="3D966380"/>
    <w:rsid w:val="3D985B98"/>
    <w:rsid w:val="3DCB18BC"/>
    <w:rsid w:val="3DE0291C"/>
    <w:rsid w:val="3E071F84"/>
    <w:rsid w:val="3E103716"/>
    <w:rsid w:val="3E1A7FFA"/>
    <w:rsid w:val="3E312413"/>
    <w:rsid w:val="3E556C1E"/>
    <w:rsid w:val="3E595E2E"/>
    <w:rsid w:val="3E687FF7"/>
    <w:rsid w:val="3E6A304C"/>
    <w:rsid w:val="3E6D4D1E"/>
    <w:rsid w:val="3E703E7C"/>
    <w:rsid w:val="3E784D04"/>
    <w:rsid w:val="3E907376"/>
    <w:rsid w:val="3EA17A8A"/>
    <w:rsid w:val="3EA8229A"/>
    <w:rsid w:val="3EB83193"/>
    <w:rsid w:val="3EB947DA"/>
    <w:rsid w:val="3EC21559"/>
    <w:rsid w:val="3EC80FDD"/>
    <w:rsid w:val="3EC85E59"/>
    <w:rsid w:val="3ECC4178"/>
    <w:rsid w:val="3ED751F5"/>
    <w:rsid w:val="3ED85C1B"/>
    <w:rsid w:val="3EFC0072"/>
    <w:rsid w:val="3F006A79"/>
    <w:rsid w:val="3F0A21DC"/>
    <w:rsid w:val="3F0C5419"/>
    <w:rsid w:val="3F0C7915"/>
    <w:rsid w:val="3F20372E"/>
    <w:rsid w:val="3F532D26"/>
    <w:rsid w:val="3F707525"/>
    <w:rsid w:val="3F8224B1"/>
    <w:rsid w:val="3F824F8F"/>
    <w:rsid w:val="3F8A46E0"/>
    <w:rsid w:val="3FA4761E"/>
    <w:rsid w:val="3FB76F69"/>
    <w:rsid w:val="3FBC2F4A"/>
    <w:rsid w:val="3FC04A71"/>
    <w:rsid w:val="3FC714BD"/>
    <w:rsid w:val="3FEA10CF"/>
    <w:rsid w:val="40023856"/>
    <w:rsid w:val="40245794"/>
    <w:rsid w:val="404C5198"/>
    <w:rsid w:val="405C7358"/>
    <w:rsid w:val="406735EC"/>
    <w:rsid w:val="406A3489"/>
    <w:rsid w:val="4074330A"/>
    <w:rsid w:val="40746DA6"/>
    <w:rsid w:val="40A76832"/>
    <w:rsid w:val="40A960F5"/>
    <w:rsid w:val="40C13F62"/>
    <w:rsid w:val="40CD5E8D"/>
    <w:rsid w:val="40DF096A"/>
    <w:rsid w:val="40E207D4"/>
    <w:rsid w:val="40FD622D"/>
    <w:rsid w:val="41183D66"/>
    <w:rsid w:val="412228A6"/>
    <w:rsid w:val="414513BB"/>
    <w:rsid w:val="414D50AA"/>
    <w:rsid w:val="41516D2F"/>
    <w:rsid w:val="41714780"/>
    <w:rsid w:val="4176053E"/>
    <w:rsid w:val="41831FF1"/>
    <w:rsid w:val="41B55B5A"/>
    <w:rsid w:val="41B704C9"/>
    <w:rsid w:val="41C00D8C"/>
    <w:rsid w:val="41D42A70"/>
    <w:rsid w:val="41DA771C"/>
    <w:rsid w:val="41DB06F7"/>
    <w:rsid w:val="41E9396D"/>
    <w:rsid w:val="41F772C0"/>
    <w:rsid w:val="42096FB9"/>
    <w:rsid w:val="421B2C48"/>
    <w:rsid w:val="42254F7B"/>
    <w:rsid w:val="42542D5E"/>
    <w:rsid w:val="425522CA"/>
    <w:rsid w:val="425F6121"/>
    <w:rsid w:val="42750D5C"/>
    <w:rsid w:val="429854F3"/>
    <w:rsid w:val="42A40B7E"/>
    <w:rsid w:val="42A95886"/>
    <w:rsid w:val="42AE3E0C"/>
    <w:rsid w:val="42CD077E"/>
    <w:rsid w:val="42D211A7"/>
    <w:rsid w:val="42DA6430"/>
    <w:rsid w:val="43010112"/>
    <w:rsid w:val="432A03A2"/>
    <w:rsid w:val="432C4F55"/>
    <w:rsid w:val="433E5872"/>
    <w:rsid w:val="434A0C74"/>
    <w:rsid w:val="439D6199"/>
    <w:rsid w:val="43A110BD"/>
    <w:rsid w:val="43A25456"/>
    <w:rsid w:val="43B97E6E"/>
    <w:rsid w:val="43BC5637"/>
    <w:rsid w:val="43C00CEB"/>
    <w:rsid w:val="43E57191"/>
    <w:rsid w:val="43E95C6A"/>
    <w:rsid w:val="43EF4B3E"/>
    <w:rsid w:val="44106168"/>
    <w:rsid w:val="44136068"/>
    <w:rsid w:val="441D7063"/>
    <w:rsid w:val="442B5686"/>
    <w:rsid w:val="44364AE5"/>
    <w:rsid w:val="443A17D0"/>
    <w:rsid w:val="443B6172"/>
    <w:rsid w:val="447C0AC8"/>
    <w:rsid w:val="447C10EC"/>
    <w:rsid w:val="447D6B63"/>
    <w:rsid w:val="448E6EC0"/>
    <w:rsid w:val="449C625F"/>
    <w:rsid w:val="44B55C9E"/>
    <w:rsid w:val="44FD615D"/>
    <w:rsid w:val="450358AF"/>
    <w:rsid w:val="45351415"/>
    <w:rsid w:val="45473BEE"/>
    <w:rsid w:val="456B243D"/>
    <w:rsid w:val="45877101"/>
    <w:rsid w:val="45AD08CE"/>
    <w:rsid w:val="45AE4D77"/>
    <w:rsid w:val="45B96064"/>
    <w:rsid w:val="45CB0895"/>
    <w:rsid w:val="46280493"/>
    <w:rsid w:val="46421F09"/>
    <w:rsid w:val="466F214B"/>
    <w:rsid w:val="466F7576"/>
    <w:rsid w:val="4689131C"/>
    <w:rsid w:val="46B5232D"/>
    <w:rsid w:val="46B60307"/>
    <w:rsid w:val="46C206E9"/>
    <w:rsid w:val="46E273FD"/>
    <w:rsid w:val="46FB2BA3"/>
    <w:rsid w:val="47017F01"/>
    <w:rsid w:val="470F7D35"/>
    <w:rsid w:val="472F2F34"/>
    <w:rsid w:val="473F7C34"/>
    <w:rsid w:val="475F5643"/>
    <w:rsid w:val="479971D1"/>
    <w:rsid w:val="47A45170"/>
    <w:rsid w:val="47AC789F"/>
    <w:rsid w:val="47E56C76"/>
    <w:rsid w:val="47F03D54"/>
    <w:rsid w:val="481844DE"/>
    <w:rsid w:val="481D6ACB"/>
    <w:rsid w:val="48263C4F"/>
    <w:rsid w:val="482C567F"/>
    <w:rsid w:val="484042CD"/>
    <w:rsid w:val="486D27B4"/>
    <w:rsid w:val="487F4198"/>
    <w:rsid w:val="48805DED"/>
    <w:rsid w:val="488751A4"/>
    <w:rsid w:val="48A42CBE"/>
    <w:rsid w:val="48B81171"/>
    <w:rsid w:val="48C3278D"/>
    <w:rsid w:val="48D02229"/>
    <w:rsid w:val="48E92073"/>
    <w:rsid w:val="49040D1D"/>
    <w:rsid w:val="49072221"/>
    <w:rsid w:val="491971D0"/>
    <w:rsid w:val="49266977"/>
    <w:rsid w:val="497B24D5"/>
    <w:rsid w:val="498017C3"/>
    <w:rsid w:val="49BC4ED8"/>
    <w:rsid w:val="49C43E23"/>
    <w:rsid w:val="49F900DB"/>
    <w:rsid w:val="4A0C2383"/>
    <w:rsid w:val="4A244C3A"/>
    <w:rsid w:val="4A33676C"/>
    <w:rsid w:val="4A5A7F46"/>
    <w:rsid w:val="4A9618F2"/>
    <w:rsid w:val="4A9B37CF"/>
    <w:rsid w:val="4AA275EF"/>
    <w:rsid w:val="4AC46EFB"/>
    <w:rsid w:val="4AC754D2"/>
    <w:rsid w:val="4ACA6601"/>
    <w:rsid w:val="4AD67221"/>
    <w:rsid w:val="4AFB154B"/>
    <w:rsid w:val="4B000124"/>
    <w:rsid w:val="4B2475A0"/>
    <w:rsid w:val="4B2C264B"/>
    <w:rsid w:val="4B3105E1"/>
    <w:rsid w:val="4B42236B"/>
    <w:rsid w:val="4B7E502E"/>
    <w:rsid w:val="4B805D88"/>
    <w:rsid w:val="4B82764F"/>
    <w:rsid w:val="4BBF7474"/>
    <w:rsid w:val="4BC73334"/>
    <w:rsid w:val="4C052611"/>
    <w:rsid w:val="4C0D51E5"/>
    <w:rsid w:val="4C1C493F"/>
    <w:rsid w:val="4C3305BF"/>
    <w:rsid w:val="4C4B6DE9"/>
    <w:rsid w:val="4C78604A"/>
    <w:rsid w:val="4CA41AF5"/>
    <w:rsid w:val="4CDF38D4"/>
    <w:rsid w:val="4CF56419"/>
    <w:rsid w:val="4CF84204"/>
    <w:rsid w:val="4D0C190A"/>
    <w:rsid w:val="4D444635"/>
    <w:rsid w:val="4D4E0FBB"/>
    <w:rsid w:val="4D6D2559"/>
    <w:rsid w:val="4D8B0D45"/>
    <w:rsid w:val="4E1868BC"/>
    <w:rsid w:val="4E1A3189"/>
    <w:rsid w:val="4E214FE5"/>
    <w:rsid w:val="4E2E7D5F"/>
    <w:rsid w:val="4E3077A1"/>
    <w:rsid w:val="4E37601E"/>
    <w:rsid w:val="4E8C22C4"/>
    <w:rsid w:val="4E8D119A"/>
    <w:rsid w:val="4E905C78"/>
    <w:rsid w:val="4EA64274"/>
    <w:rsid w:val="4EBD0574"/>
    <w:rsid w:val="4EE77C18"/>
    <w:rsid w:val="4F0D72B3"/>
    <w:rsid w:val="4F1D1C2F"/>
    <w:rsid w:val="4F477621"/>
    <w:rsid w:val="4F5A4C2C"/>
    <w:rsid w:val="4F7B4C3A"/>
    <w:rsid w:val="4FB8109C"/>
    <w:rsid w:val="4FDB721D"/>
    <w:rsid w:val="4FDD65E6"/>
    <w:rsid w:val="4FEB0792"/>
    <w:rsid w:val="4FFF0D7C"/>
    <w:rsid w:val="500B2868"/>
    <w:rsid w:val="50460FD8"/>
    <w:rsid w:val="504C06C7"/>
    <w:rsid w:val="50606300"/>
    <w:rsid w:val="50662EE4"/>
    <w:rsid w:val="506F7E0A"/>
    <w:rsid w:val="50AF5584"/>
    <w:rsid w:val="50CA6837"/>
    <w:rsid w:val="50ED4E99"/>
    <w:rsid w:val="50F655FD"/>
    <w:rsid w:val="51145372"/>
    <w:rsid w:val="514652E5"/>
    <w:rsid w:val="515F4EFB"/>
    <w:rsid w:val="51B370E3"/>
    <w:rsid w:val="51FC43EF"/>
    <w:rsid w:val="52002E53"/>
    <w:rsid w:val="5238192E"/>
    <w:rsid w:val="526B0A10"/>
    <w:rsid w:val="528B6ED5"/>
    <w:rsid w:val="528C436B"/>
    <w:rsid w:val="52B24156"/>
    <w:rsid w:val="52BA7A24"/>
    <w:rsid w:val="52C22C10"/>
    <w:rsid w:val="52CC1531"/>
    <w:rsid w:val="52D51ACF"/>
    <w:rsid w:val="52DE356A"/>
    <w:rsid w:val="52E35468"/>
    <w:rsid w:val="5305070A"/>
    <w:rsid w:val="530B450E"/>
    <w:rsid w:val="531F7E9E"/>
    <w:rsid w:val="534D6796"/>
    <w:rsid w:val="536860DE"/>
    <w:rsid w:val="536F334A"/>
    <w:rsid w:val="53AA3C69"/>
    <w:rsid w:val="53AE2A72"/>
    <w:rsid w:val="53B37C8A"/>
    <w:rsid w:val="53C9567B"/>
    <w:rsid w:val="53D67BBD"/>
    <w:rsid w:val="53DA7EA6"/>
    <w:rsid w:val="54050D1D"/>
    <w:rsid w:val="54167962"/>
    <w:rsid w:val="541A6902"/>
    <w:rsid w:val="543B4B75"/>
    <w:rsid w:val="546D008B"/>
    <w:rsid w:val="547934A0"/>
    <w:rsid w:val="54A51C4D"/>
    <w:rsid w:val="54B7402F"/>
    <w:rsid w:val="54CA3F33"/>
    <w:rsid w:val="54CD6A7F"/>
    <w:rsid w:val="54DB2D83"/>
    <w:rsid w:val="54DE1B38"/>
    <w:rsid w:val="54FD5A04"/>
    <w:rsid w:val="55083688"/>
    <w:rsid w:val="554750DB"/>
    <w:rsid w:val="555B1CE8"/>
    <w:rsid w:val="557C6557"/>
    <w:rsid w:val="5593566C"/>
    <w:rsid w:val="55AD27FF"/>
    <w:rsid w:val="55B34FF6"/>
    <w:rsid w:val="55D162B4"/>
    <w:rsid w:val="55E0254D"/>
    <w:rsid w:val="56292E25"/>
    <w:rsid w:val="5638582D"/>
    <w:rsid w:val="5641631F"/>
    <w:rsid w:val="56443AB7"/>
    <w:rsid w:val="564A562C"/>
    <w:rsid w:val="5650271F"/>
    <w:rsid w:val="56523960"/>
    <w:rsid w:val="565C0CCC"/>
    <w:rsid w:val="56766091"/>
    <w:rsid w:val="5691240D"/>
    <w:rsid w:val="56AC7FA1"/>
    <w:rsid w:val="56B70B8E"/>
    <w:rsid w:val="56B90A0A"/>
    <w:rsid w:val="56C80E25"/>
    <w:rsid w:val="56E177F2"/>
    <w:rsid w:val="56EB3F5B"/>
    <w:rsid w:val="56EE2D61"/>
    <w:rsid w:val="56F2034D"/>
    <w:rsid w:val="57252349"/>
    <w:rsid w:val="57670441"/>
    <w:rsid w:val="576D6F84"/>
    <w:rsid w:val="57773248"/>
    <w:rsid w:val="5778673C"/>
    <w:rsid w:val="57877A2D"/>
    <w:rsid w:val="57994E51"/>
    <w:rsid w:val="579B37DD"/>
    <w:rsid w:val="57AE7A87"/>
    <w:rsid w:val="57B05A8D"/>
    <w:rsid w:val="57B30890"/>
    <w:rsid w:val="57C52FDA"/>
    <w:rsid w:val="57D94998"/>
    <w:rsid w:val="57DC2249"/>
    <w:rsid w:val="58045047"/>
    <w:rsid w:val="582015AC"/>
    <w:rsid w:val="583A1C53"/>
    <w:rsid w:val="583D0CFD"/>
    <w:rsid w:val="585D02B1"/>
    <w:rsid w:val="585F4215"/>
    <w:rsid w:val="58962C78"/>
    <w:rsid w:val="589B38C7"/>
    <w:rsid w:val="58AC1E4A"/>
    <w:rsid w:val="58B11A8C"/>
    <w:rsid w:val="590627E0"/>
    <w:rsid w:val="5913275C"/>
    <w:rsid w:val="591B109B"/>
    <w:rsid w:val="591F407C"/>
    <w:rsid w:val="59280DDC"/>
    <w:rsid w:val="592C6E04"/>
    <w:rsid w:val="59484FC5"/>
    <w:rsid w:val="597C5892"/>
    <w:rsid w:val="59857E79"/>
    <w:rsid w:val="59B0372E"/>
    <w:rsid w:val="59DD76A5"/>
    <w:rsid w:val="59E82428"/>
    <w:rsid w:val="59F776D3"/>
    <w:rsid w:val="5A2B15FC"/>
    <w:rsid w:val="5A51657E"/>
    <w:rsid w:val="5A543857"/>
    <w:rsid w:val="5A57523D"/>
    <w:rsid w:val="5A9D21E8"/>
    <w:rsid w:val="5AF57138"/>
    <w:rsid w:val="5AFC39DE"/>
    <w:rsid w:val="5B1433B1"/>
    <w:rsid w:val="5B1867B6"/>
    <w:rsid w:val="5B3738E1"/>
    <w:rsid w:val="5B390D9B"/>
    <w:rsid w:val="5B3B4194"/>
    <w:rsid w:val="5B775D64"/>
    <w:rsid w:val="5B805F37"/>
    <w:rsid w:val="5B845148"/>
    <w:rsid w:val="5B915BA9"/>
    <w:rsid w:val="5B942CEF"/>
    <w:rsid w:val="5BA62B80"/>
    <w:rsid w:val="5BB30813"/>
    <w:rsid w:val="5BC64494"/>
    <w:rsid w:val="5BD15A77"/>
    <w:rsid w:val="5BD97BEC"/>
    <w:rsid w:val="5BE7361C"/>
    <w:rsid w:val="5BFC6211"/>
    <w:rsid w:val="5BFD1B07"/>
    <w:rsid w:val="5C022875"/>
    <w:rsid w:val="5C0B5A2A"/>
    <w:rsid w:val="5C1C34AC"/>
    <w:rsid w:val="5C2D2614"/>
    <w:rsid w:val="5C354FB0"/>
    <w:rsid w:val="5C5979EB"/>
    <w:rsid w:val="5C6E605B"/>
    <w:rsid w:val="5C706512"/>
    <w:rsid w:val="5C770AD4"/>
    <w:rsid w:val="5C7E6406"/>
    <w:rsid w:val="5C9C549E"/>
    <w:rsid w:val="5CAF6008"/>
    <w:rsid w:val="5CB8002F"/>
    <w:rsid w:val="5CE736A8"/>
    <w:rsid w:val="5CF50B43"/>
    <w:rsid w:val="5D192549"/>
    <w:rsid w:val="5D30705E"/>
    <w:rsid w:val="5D3C654B"/>
    <w:rsid w:val="5D955C3D"/>
    <w:rsid w:val="5D9D450B"/>
    <w:rsid w:val="5DA627AA"/>
    <w:rsid w:val="5DB66EF8"/>
    <w:rsid w:val="5DBA6EA2"/>
    <w:rsid w:val="5DBD7569"/>
    <w:rsid w:val="5DE148C2"/>
    <w:rsid w:val="5DE2471F"/>
    <w:rsid w:val="5DE94AFF"/>
    <w:rsid w:val="5DF205C2"/>
    <w:rsid w:val="5E3D0EF4"/>
    <w:rsid w:val="5E74700B"/>
    <w:rsid w:val="5E877069"/>
    <w:rsid w:val="5E8A5118"/>
    <w:rsid w:val="5ECC7AA3"/>
    <w:rsid w:val="5ED65AF1"/>
    <w:rsid w:val="5EF10CD2"/>
    <w:rsid w:val="5EFA0B0F"/>
    <w:rsid w:val="5EFA6055"/>
    <w:rsid w:val="5F0132B0"/>
    <w:rsid w:val="5F2708A5"/>
    <w:rsid w:val="5F284249"/>
    <w:rsid w:val="5F2946B3"/>
    <w:rsid w:val="5F3B46B0"/>
    <w:rsid w:val="5F4D3F3A"/>
    <w:rsid w:val="5F593557"/>
    <w:rsid w:val="5F5A693C"/>
    <w:rsid w:val="5F606161"/>
    <w:rsid w:val="5F650BE9"/>
    <w:rsid w:val="5F736EE6"/>
    <w:rsid w:val="5F95645F"/>
    <w:rsid w:val="5FC728E9"/>
    <w:rsid w:val="603240A3"/>
    <w:rsid w:val="603859B7"/>
    <w:rsid w:val="60483DD9"/>
    <w:rsid w:val="605B5125"/>
    <w:rsid w:val="606B6EB4"/>
    <w:rsid w:val="60707577"/>
    <w:rsid w:val="608A2EAB"/>
    <w:rsid w:val="60A87A63"/>
    <w:rsid w:val="60B13A17"/>
    <w:rsid w:val="60B86B5E"/>
    <w:rsid w:val="60BD55DE"/>
    <w:rsid w:val="60DF64D9"/>
    <w:rsid w:val="60E01563"/>
    <w:rsid w:val="610550D6"/>
    <w:rsid w:val="611A4563"/>
    <w:rsid w:val="61332017"/>
    <w:rsid w:val="613A5313"/>
    <w:rsid w:val="613D760A"/>
    <w:rsid w:val="614A61F5"/>
    <w:rsid w:val="615E2A77"/>
    <w:rsid w:val="61804392"/>
    <w:rsid w:val="61933B62"/>
    <w:rsid w:val="61C021EF"/>
    <w:rsid w:val="61CB1F1D"/>
    <w:rsid w:val="61E2060C"/>
    <w:rsid w:val="61EB0E8B"/>
    <w:rsid w:val="620F5745"/>
    <w:rsid w:val="62146D1E"/>
    <w:rsid w:val="6238469C"/>
    <w:rsid w:val="623A7ECD"/>
    <w:rsid w:val="625E0CED"/>
    <w:rsid w:val="626534B9"/>
    <w:rsid w:val="62B72874"/>
    <w:rsid w:val="62B92BFF"/>
    <w:rsid w:val="62D2790C"/>
    <w:rsid w:val="62D7035D"/>
    <w:rsid w:val="630E500B"/>
    <w:rsid w:val="63354DA6"/>
    <w:rsid w:val="634E3424"/>
    <w:rsid w:val="63672BDD"/>
    <w:rsid w:val="63904820"/>
    <w:rsid w:val="639636B2"/>
    <w:rsid w:val="63994A47"/>
    <w:rsid w:val="63CD26DF"/>
    <w:rsid w:val="63DA603B"/>
    <w:rsid w:val="63E63967"/>
    <w:rsid w:val="63F770C0"/>
    <w:rsid w:val="641D6F25"/>
    <w:rsid w:val="64443E41"/>
    <w:rsid w:val="64545AEB"/>
    <w:rsid w:val="645A44B5"/>
    <w:rsid w:val="647A4011"/>
    <w:rsid w:val="647B7847"/>
    <w:rsid w:val="64CB2041"/>
    <w:rsid w:val="64F9657D"/>
    <w:rsid w:val="64FB076E"/>
    <w:rsid w:val="651233DE"/>
    <w:rsid w:val="65222B6E"/>
    <w:rsid w:val="65501343"/>
    <w:rsid w:val="65510FAD"/>
    <w:rsid w:val="655E2843"/>
    <w:rsid w:val="657824EA"/>
    <w:rsid w:val="657C5F7F"/>
    <w:rsid w:val="658F4564"/>
    <w:rsid w:val="6595659E"/>
    <w:rsid w:val="65A538D0"/>
    <w:rsid w:val="65D37D10"/>
    <w:rsid w:val="66142AF5"/>
    <w:rsid w:val="66330C82"/>
    <w:rsid w:val="66395B07"/>
    <w:rsid w:val="664B1FD5"/>
    <w:rsid w:val="66557696"/>
    <w:rsid w:val="665A0EA5"/>
    <w:rsid w:val="66782954"/>
    <w:rsid w:val="667F3F76"/>
    <w:rsid w:val="668A18B6"/>
    <w:rsid w:val="6691412A"/>
    <w:rsid w:val="66A25352"/>
    <w:rsid w:val="66DD3F68"/>
    <w:rsid w:val="66DF57EB"/>
    <w:rsid w:val="66DF5E21"/>
    <w:rsid w:val="671174CA"/>
    <w:rsid w:val="67242A40"/>
    <w:rsid w:val="673C4839"/>
    <w:rsid w:val="67794F5A"/>
    <w:rsid w:val="677E09FE"/>
    <w:rsid w:val="678F3F7F"/>
    <w:rsid w:val="67902082"/>
    <w:rsid w:val="67974F38"/>
    <w:rsid w:val="679F3CC8"/>
    <w:rsid w:val="67A00C94"/>
    <w:rsid w:val="67CD2048"/>
    <w:rsid w:val="67F106A3"/>
    <w:rsid w:val="68270013"/>
    <w:rsid w:val="683F67AD"/>
    <w:rsid w:val="68580218"/>
    <w:rsid w:val="6888587E"/>
    <w:rsid w:val="688C0087"/>
    <w:rsid w:val="689B6EBF"/>
    <w:rsid w:val="68A00864"/>
    <w:rsid w:val="68C95DAE"/>
    <w:rsid w:val="68CB04E6"/>
    <w:rsid w:val="68D91BF7"/>
    <w:rsid w:val="68E95623"/>
    <w:rsid w:val="68EE15FD"/>
    <w:rsid w:val="690D4ADA"/>
    <w:rsid w:val="691C1E7A"/>
    <w:rsid w:val="692651BC"/>
    <w:rsid w:val="693017E1"/>
    <w:rsid w:val="696077C1"/>
    <w:rsid w:val="696364E9"/>
    <w:rsid w:val="6966027C"/>
    <w:rsid w:val="69871946"/>
    <w:rsid w:val="69A13908"/>
    <w:rsid w:val="69BD26B8"/>
    <w:rsid w:val="69C331A3"/>
    <w:rsid w:val="69DA6011"/>
    <w:rsid w:val="69E121EF"/>
    <w:rsid w:val="6A091502"/>
    <w:rsid w:val="6A22557A"/>
    <w:rsid w:val="6A4675D1"/>
    <w:rsid w:val="6A8840A1"/>
    <w:rsid w:val="6A8F2330"/>
    <w:rsid w:val="6A912FCA"/>
    <w:rsid w:val="6A9736AB"/>
    <w:rsid w:val="6AB94B71"/>
    <w:rsid w:val="6AC74BC9"/>
    <w:rsid w:val="6AD106BA"/>
    <w:rsid w:val="6AE50428"/>
    <w:rsid w:val="6AE60F6D"/>
    <w:rsid w:val="6AFD2033"/>
    <w:rsid w:val="6AFF1085"/>
    <w:rsid w:val="6B3C7EBD"/>
    <w:rsid w:val="6B6E0A7D"/>
    <w:rsid w:val="6B7522DF"/>
    <w:rsid w:val="6B8F19E3"/>
    <w:rsid w:val="6BA516BF"/>
    <w:rsid w:val="6BD36E57"/>
    <w:rsid w:val="6BE569E1"/>
    <w:rsid w:val="6C0477A7"/>
    <w:rsid w:val="6C0E158E"/>
    <w:rsid w:val="6C4C557E"/>
    <w:rsid w:val="6C513907"/>
    <w:rsid w:val="6C5E733B"/>
    <w:rsid w:val="6C6771D7"/>
    <w:rsid w:val="6C6F3626"/>
    <w:rsid w:val="6C824D4F"/>
    <w:rsid w:val="6C853B39"/>
    <w:rsid w:val="6C873C93"/>
    <w:rsid w:val="6C9003BD"/>
    <w:rsid w:val="6CB065C5"/>
    <w:rsid w:val="6D033285"/>
    <w:rsid w:val="6D0D0360"/>
    <w:rsid w:val="6D285218"/>
    <w:rsid w:val="6D392749"/>
    <w:rsid w:val="6D41563D"/>
    <w:rsid w:val="6D51007F"/>
    <w:rsid w:val="6D575CEC"/>
    <w:rsid w:val="6D715E7F"/>
    <w:rsid w:val="6D7C2BC1"/>
    <w:rsid w:val="6D9E6D45"/>
    <w:rsid w:val="6DBA5596"/>
    <w:rsid w:val="6DE34D97"/>
    <w:rsid w:val="6DF428E5"/>
    <w:rsid w:val="6E202959"/>
    <w:rsid w:val="6E2E7217"/>
    <w:rsid w:val="6E331CAD"/>
    <w:rsid w:val="6E3E55F8"/>
    <w:rsid w:val="6E4E0006"/>
    <w:rsid w:val="6E5D1A04"/>
    <w:rsid w:val="6E5F5AAB"/>
    <w:rsid w:val="6EA2087C"/>
    <w:rsid w:val="6EAB3185"/>
    <w:rsid w:val="6EBF3FE6"/>
    <w:rsid w:val="6EC52DE9"/>
    <w:rsid w:val="6EE04F6B"/>
    <w:rsid w:val="6EFC3C14"/>
    <w:rsid w:val="6F2963DB"/>
    <w:rsid w:val="6F381A6C"/>
    <w:rsid w:val="6F3B4B99"/>
    <w:rsid w:val="6F3E381D"/>
    <w:rsid w:val="6F4278AA"/>
    <w:rsid w:val="6F471AE3"/>
    <w:rsid w:val="6F480EFF"/>
    <w:rsid w:val="6F5265B3"/>
    <w:rsid w:val="6F587D46"/>
    <w:rsid w:val="6F9E62E6"/>
    <w:rsid w:val="6FA96235"/>
    <w:rsid w:val="6FB014A7"/>
    <w:rsid w:val="6FCD212D"/>
    <w:rsid w:val="6FE976EA"/>
    <w:rsid w:val="6FEF5D43"/>
    <w:rsid w:val="7017720C"/>
    <w:rsid w:val="70220BAF"/>
    <w:rsid w:val="703E5A46"/>
    <w:rsid w:val="70436689"/>
    <w:rsid w:val="705D2D7F"/>
    <w:rsid w:val="709C0ADB"/>
    <w:rsid w:val="70B24746"/>
    <w:rsid w:val="70C857C8"/>
    <w:rsid w:val="70CA4FC2"/>
    <w:rsid w:val="70DC3CB2"/>
    <w:rsid w:val="70E2106D"/>
    <w:rsid w:val="70EB1AB2"/>
    <w:rsid w:val="710211E8"/>
    <w:rsid w:val="71127C0F"/>
    <w:rsid w:val="7135519B"/>
    <w:rsid w:val="71475F70"/>
    <w:rsid w:val="7166092A"/>
    <w:rsid w:val="71BB4DAA"/>
    <w:rsid w:val="71E62A62"/>
    <w:rsid w:val="71F67E98"/>
    <w:rsid w:val="71FC47CC"/>
    <w:rsid w:val="71FE6A7A"/>
    <w:rsid w:val="722D3AB0"/>
    <w:rsid w:val="722E5941"/>
    <w:rsid w:val="723960FA"/>
    <w:rsid w:val="723C067B"/>
    <w:rsid w:val="72B46B26"/>
    <w:rsid w:val="72B72AD1"/>
    <w:rsid w:val="72C31118"/>
    <w:rsid w:val="72E965A5"/>
    <w:rsid w:val="72F1107A"/>
    <w:rsid w:val="72FB563E"/>
    <w:rsid w:val="730A3CAB"/>
    <w:rsid w:val="73391344"/>
    <w:rsid w:val="735B1CEC"/>
    <w:rsid w:val="735C34CB"/>
    <w:rsid w:val="735F1D24"/>
    <w:rsid w:val="73622DCE"/>
    <w:rsid w:val="736A4DE1"/>
    <w:rsid w:val="7372451A"/>
    <w:rsid w:val="73754C8B"/>
    <w:rsid w:val="73D65492"/>
    <w:rsid w:val="740D57CA"/>
    <w:rsid w:val="742A34FF"/>
    <w:rsid w:val="74527B7A"/>
    <w:rsid w:val="745B6EF3"/>
    <w:rsid w:val="74727B27"/>
    <w:rsid w:val="747828FE"/>
    <w:rsid w:val="74AF569D"/>
    <w:rsid w:val="74DA2738"/>
    <w:rsid w:val="74DC1D88"/>
    <w:rsid w:val="750D392A"/>
    <w:rsid w:val="750F12D1"/>
    <w:rsid w:val="7523643F"/>
    <w:rsid w:val="754C5AD4"/>
    <w:rsid w:val="75530B22"/>
    <w:rsid w:val="755D730A"/>
    <w:rsid w:val="75720FA8"/>
    <w:rsid w:val="757D7706"/>
    <w:rsid w:val="758313A2"/>
    <w:rsid w:val="7589330E"/>
    <w:rsid w:val="75C701F9"/>
    <w:rsid w:val="75D9680D"/>
    <w:rsid w:val="75DE4794"/>
    <w:rsid w:val="75DF5A59"/>
    <w:rsid w:val="75E30C6A"/>
    <w:rsid w:val="75FF1B23"/>
    <w:rsid w:val="761950FD"/>
    <w:rsid w:val="762539FF"/>
    <w:rsid w:val="7628448C"/>
    <w:rsid w:val="7684340D"/>
    <w:rsid w:val="76876C69"/>
    <w:rsid w:val="7692462E"/>
    <w:rsid w:val="76A07AAB"/>
    <w:rsid w:val="76A47437"/>
    <w:rsid w:val="76A657D2"/>
    <w:rsid w:val="76B66EA4"/>
    <w:rsid w:val="76BF460F"/>
    <w:rsid w:val="76C63E05"/>
    <w:rsid w:val="76CF1534"/>
    <w:rsid w:val="76E87908"/>
    <w:rsid w:val="77166F41"/>
    <w:rsid w:val="773F0AB7"/>
    <w:rsid w:val="774E0413"/>
    <w:rsid w:val="778D44E1"/>
    <w:rsid w:val="77947D29"/>
    <w:rsid w:val="77CD3C2E"/>
    <w:rsid w:val="77F565A5"/>
    <w:rsid w:val="77FE6E1D"/>
    <w:rsid w:val="785A5BCE"/>
    <w:rsid w:val="78601D6B"/>
    <w:rsid w:val="78611F43"/>
    <w:rsid w:val="78625620"/>
    <w:rsid w:val="78653801"/>
    <w:rsid w:val="787913B4"/>
    <w:rsid w:val="787E3A7D"/>
    <w:rsid w:val="788D0DB5"/>
    <w:rsid w:val="78931481"/>
    <w:rsid w:val="78B33A40"/>
    <w:rsid w:val="78B673FD"/>
    <w:rsid w:val="78BB4F56"/>
    <w:rsid w:val="78BC32F0"/>
    <w:rsid w:val="78E06540"/>
    <w:rsid w:val="78F40D82"/>
    <w:rsid w:val="790922E5"/>
    <w:rsid w:val="79166583"/>
    <w:rsid w:val="79360571"/>
    <w:rsid w:val="795E39B4"/>
    <w:rsid w:val="797379C3"/>
    <w:rsid w:val="79747AC1"/>
    <w:rsid w:val="79C00498"/>
    <w:rsid w:val="79D25E11"/>
    <w:rsid w:val="79F1479A"/>
    <w:rsid w:val="79F92E2D"/>
    <w:rsid w:val="79FE4419"/>
    <w:rsid w:val="7A054CB5"/>
    <w:rsid w:val="7A0D032E"/>
    <w:rsid w:val="7A1139FB"/>
    <w:rsid w:val="7A276DF9"/>
    <w:rsid w:val="7A2E10FA"/>
    <w:rsid w:val="7A306589"/>
    <w:rsid w:val="7A653600"/>
    <w:rsid w:val="7A772899"/>
    <w:rsid w:val="7A773691"/>
    <w:rsid w:val="7A9428E0"/>
    <w:rsid w:val="7AAC0AB8"/>
    <w:rsid w:val="7ABE7E6B"/>
    <w:rsid w:val="7AD9567D"/>
    <w:rsid w:val="7AE41DBB"/>
    <w:rsid w:val="7AE53944"/>
    <w:rsid w:val="7AFE106D"/>
    <w:rsid w:val="7B06090E"/>
    <w:rsid w:val="7B1A3607"/>
    <w:rsid w:val="7B2A3AD8"/>
    <w:rsid w:val="7B3043B0"/>
    <w:rsid w:val="7B3F5CEF"/>
    <w:rsid w:val="7B410548"/>
    <w:rsid w:val="7B53140C"/>
    <w:rsid w:val="7B5B0D20"/>
    <w:rsid w:val="7B912626"/>
    <w:rsid w:val="7BAA2433"/>
    <w:rsid w:val="7BAD2561"/>
    <w:rsid w:val="7BAE1BD0"/>
    <w:rsid w:val="7C04417D"/>
    <w:rsid w:val="7C0C2027"/>
    <w:rsid w:val="7C304300"/>
    <w:rsid w:val="7C3C59DC"/>
    <w:rsid w:val="7C427A49"/>
    <w:rsid w:val="7C465027"/>
    <w:rsid w:val="7C59098A"/>
    <w:rsid w:val="7C6C295D"/>
    <w:rsid w:val="7C7E0756"/>
    <w:rsid w:val="7C9E0196"/>
    <w:rsid w:val="7CED479A"/>
    <w:rsid w:val="7CEF3184"/>
    <w:rsid w:val="7D04163F"/>
    <w:rsid w:val="7D0A3300"/>
    <w:rsid w:val="7D0A600F"/>
    <w:rsid w:val="7D0D3267"/>
    <w:rsid w:val="7D3C4916"/>
    <w:rsid w:val="7D4515C6"/>
    <w:rsid w:val="7D936FD1"/>
    <w:rsid w:val="7DAD3034"/>
    <w:rsid w:val="7DD939CE"/>
    <w:rsid w:val="7E1452A3"/>
    <w:rsid w:val="7E242FE7"/>
    <w:rsid w:val="7E426EB7"/>
    <w:rsid w:val="7E4618A8"/>
    <w:rsid w:val="7E495D70"/>
    <w:rsid w:val="7E4B445C"/>
    <w:rsid w:val="7E6117F9"/>
    <w:rsid w:val="7E7C1A0B"/>
    <w:rsid w:val="7E853099"/>
    <w:rsid w:val="7F245827"/>
    <w:rsid w:val="7F2C0A73"/>
    <w:rsid w:val="7F610464"/>
    <w:rsid w:val="7F751E2D"/>
    <w:rsid w:val="7F777CAE"/>
    <w:rsid w:val="7F7C5A74"/>
    <w:rsid w:val="7F8D3A58"/>
    <w:rsid w:val="7FB30331"/>
    <w:rsid w:val="7FBC0598"/>
    <w:rsid w:val="7FD52100"/>
    <w:rsid w:val="7FD81F07"/>
    <w:rsid w:val="7FEA2E43"/>
    <w:rsid w:val="7FF341CA"/>
    <w:rsid w:val="7FF3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autoRedefine/>
    <w:qFormat/>
    <w:uiPriority w:val="99"/>
    <w:pPr>
      <w:keepNext/>
      <w:keepLines/>
      <w:spacing w:before="100" w:beforeAutospacing="1" w:after="417" w:line="271" w:lineRule="auto"/>
      <w:ind w:left="190" w:hanging="10"/>
      <w:jc w:val="center"/>
      <w:outlineLvl w:val="0"/>
    </w:pPr>
    <w:rPr>
      <w:rFonts w:ascii="黑体" w:hAnsi="黑体" w:eastAsia="黑体"/>
      <w:color w:val="000000"/>
      <w:sz w:val="32"/>
      <w:szCs w:val="32"/>
    </w:rPr>
  </w:style>
  <w:style w:type="paragraph" w:styleId="3">
    <w:name w:val="heading 2"/>
    <w:basedOn w:val="1"/>
    <w:next w:val="1"/>
    <w:link w:val="50"/>
    <w:autoRedefine/>
    <w:qFormat/>
    <w:uiPriority w:val="99"/>
    <w:pPr>
      <w:keepNext/>
      <w:keepLines/>
      <w:spacing w:before="100" w:beforeAutospacing="1" w:after="25" w:line="256" w:lineRule="auto"/>
      <w:ind w:left="3538"/>
      <w:jc w:val="center"/>
      <w:outlineLvl w:val="1"/>
    </w:pPr>
    <w:rPr>
      <w:rFonts w:ascii="黑体" w:hAnsi="黑体" w:eastAsia="黑体"/>
      <w:color w:val="000000"/>
      <w:sz w:val="24"/>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1">
    <w:name w:val="Default Paragraph Font"/>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6">
    <w:name w:val="index 8"/>
    <w:basedOn w:val="1"/>
    <w:next w:val="1"/>
    <w:autoRedefine/>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autoRedefine/>
    <w:qFormat/>
    <w:uiPriority w:val="0"/>
    <w:pPr>
      <w:ind w:left="1050" w:hanging="210"/>
      <w:jc w:val="left"/>
    </w:pPr>
    <w:rPr>
      <w:rFonts w:ascii="Calibri" w:hAnsi="Calibri"/>
      <w:sz w:val="20"/>
      <w:szCs w:val="20"/>
    </w:rPr>
  </w:style>
  <w:style w:type="paragraph" w:styleId="9">
    <w:name w:val="Document Map"/>
    <w:basedOn w:val="1"/>
    <w:autoRedefine/>
    <w:semiHidden/>
    <w:qFormat/>
    <w:uiPriority w:val="0"/>
    <w:pPr>
      <w:shd w:val="clear" w:color="auto" w:fill="000080"/>
    </w:pPr>
  </w:style>
  <w:style w:type="paragraph" w:styleId="10">
    <w:name w:val="annotation text"/>
    <w:basedOn w:val="1"/>
    <w:link w:val="51"/>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autoRedefine/>
    <w:qFormat/>
    <w:uiPriority w:val="0"/>
    <w:pPr>
      <w:ind w:left="325"/>
    </w:pPr>
    <w:rPr>
      <w:rFonts w:hint="eastAsia" w:ascii="宋体" w:hAnsi="宋体"/>
      <w:sz w:val="19"/>
    </w:rPr>
  </w:style>
  <w:style w:type="paragraph" w:styleId="13">
    <w:name w:val="Body Text Indent"/>
    <w:basedOn w:val="1"/>
    <w:autoRedefine/>
    <w:qFormat/>
    <w:uiPriority w:val="0"/>
    <w:pPr>
      <w:ind w:firstLine="420" w:firstLineChars="200"/>
    </w:pPr>
  </w:style>
  <w:style w:type="paragraph" w:styleId="14">
    <w:name w:val="index 4"/>
    <w:basedOn w:val="1"/>
    <w:next w:val="1"/>
    <w:autoRedefine/>
    <w:qFormat/>
    <w:uiPriority w:val="0"/>
    <w:pPr>
      <w:ind w:left="840" w:hanging="210"/>
      <w:jc w:val="left"/>
    </w:pPr>
    <w:rPr>
      <w:rFonts w:ascii="Calibri" w:hAnsi="Calibri"/>
      <w:sz w:val="20"/>
      <w:szCs w:val="20"/>
    </w:rPr>
  </w:style>
  <w:style w:type="paragraph" w:styleId="15">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6">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7">
    <w:name w:val="Plain Text"/>
    <w:basedOn w:val="1"/>
    <w:autoRedefine/>
    <w:qFormat/>
    <w:uiPriority w:val="0"/>
    <w:pPr>
      <w:spacing w:line="340" w:lineRule="exact"/>
      <w:outlineLvl w:val="0"/>
    </w:pPr>
    <w:rPr>
      <w:rFonts w:ascii="宋体" w:hAnsi="宋体"/>
      <w:szCs w:val="20"/>
    </w:rPr>
  </w:style>
  <w:style w:type="paragraph" w:styleId="18">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9">
    <w:name w:val="index 3"/>
    <w:basedOn w:val="1"/>
    <w:next w:val="1"/>
    <w:autoRedefine/>
    <w:qFormat/>
    <w:uiPriority w:val="0"/>
    <w:pPr>
      <w:ind w:left="630" w:hanging="210"/>
      <w:jc w:val="left"/>
    </w:pPr>
    <w:rPr>
      <w:rFonts w:ascii="Calibri" w:hAnsi="Calibri"/>
      <w:sz w:val="20"/>
      <w:szCs w:val="20"/>
    </w:rPr>
  </w:style>
  <w:style w:type="paragraph" w:styleId="20">
    <w:name w:val="endnote text"/>
    <w:basedOn w:val="1"/>
    <w:semiHidden/>
    <w:qFormat/>
    <w:uiPriority w:val="0"/>
    <w:pPr>
      <w:snapToGrid w:val="0"/>
      <w:jc w:val="left"/>
    </w:pPr>
  </w:style>
  <w:style w:type="paragraph" w:styleId="21">
    <w:name w:val="Balloon Text"/>
    <w:basedOn w:val="1"/>
    <w:link w:val="52"/>
    <w:autoRedefine/>
    <w:qFormat/>
    <w:uiPriority w:val="0"/>
    <w:rPr>
      <w:sz w:val="18"/>
      <w:szCs w:val="18"/>
    </w:rPr>
  </w:style>
  <w:style w:type="paragraph" w:styleId="22">
    <w:name w:val="footer"/>
    <w:basedOn w:val="1"/>
    <w:autoRedefine/>
    <w:qFormat/>
    <w:uiPriority w:val="0"/>
    <w:pPr>
      <w:snapToGrid w:val="0"/>
      <w:ind w:right="210" w:rightChars="100"/>
      <w:jc w:val="right"/>
    </w:pPr>
    <w:rPr>
      <w:sz w:val="18"/>
      <w:szCs w:val="18"/>
    </w:rPr>
  </w:style>
  <w:style w:type="paragraph" w:styleId="23">
    <w:name w:val="header"/>
    <w:basedOn w:val="1"/>
    <w:autoRedefine/>
    <w:qFormat/>
    <w:uiPriority w:val="0"/>
    <w:pPr>
      <w:snapToGrid w:val="0"/>
      <w:jc w:val="left"/>
    </w:pPr>
    <w:rPr>
      <w:sz w:val="18"/>
      <w:szCs w:val="18"/>
    </w:rPr>
  </w:style>
  <w:style w:type="paragraph" w:styleId="24">
    <w:name w:val="toc 1"/>
    <w:basedOn w:val="1"/>
    <w:next w:val="1"/>
    <w:autoRedefine/>
    <w:qFormat/>
    <w:uiPriority w:val="39"/>
    <w:pPr>
      <w:tabs>
        <w:tab w:val="right" w:leader="dot" w:pos="9242"/>
      </w:tabs>
      <w:spacing w:before="25" w:beforeLines="25" w:after="25" w:afterLines="25"/>
      <w:jc w:val="left"/>
    </w:pPr>
    <w:rPr>
      <w:rFonts w:ascii="宋体"/>
      <w:szCs w:val="21"/>
    </w:rPr>
  </w:style>
  <w:style w:type="paragraph" w:styleId="25">
    <w:name w:val="toc 4"/>
    <w:basedOn w:val="1"/>
    <w:next w:val="1"/>
    <w:semiHidden/>
    <w:qFormat/>
    <w:uiPriority w:val="0"/>
    <w:pPr>
      <w:tabs>
        <w:tab w:val="right" w:leader="dot" w:pos="9241"/>
      </w:tabs>
      <w:ind w:firstLine="200" w:firstLineChars="200"/>
      <w:jc w:val="left"/>
    </w:pPr>
    <w:rPr>
      <w:rFonts w:ascii="宋体"/>
      <w:szCs w:val="21"/>
    </w:rPr>
  </w:style>
  <w:style w:type="paragraph" w:styleId="26">
    <w:name w:val="index heading"/>
    <w:basedOn w:val="1"/>
    <w:next w:val="27"/>
    <w:autoRedefine/>
    <w:qFormat/>
    <w:uiPriority w:val="0"/>
    <w:pPr>
      <w:spacing w:before="120" w:after="120"/>
      <w:jc w:val="center"/>
    </w:pPr>
    <w:rPr>
      <w:rFonts w:ascii="Calibri" w:hAnsi="Calibri"/>
      <w:b/>
      <w:bCs/>
      <w:iCs/>
      <w:szCs w:val="20"/>
    </w:rPr>
  </w:style>
  <w:style w:type="paragraph" w:styleId="27">
    <w:name w:val="index 1"/>
    <w:basedOn w:val="1"/>
    <w:next w:val="28"/>
    <w:autoRedefine/>
    <w:qFormat/>
    <w:uiPriority w:val="0"/>
    <w:pPr>
      <w:tabs>
        <w:tab w:val="right" w:leader="dot" w:pos="9299"/>
      </w:tabs>
      <w:jc w:val="left"/>
    </w:pPr>
    <w:rPr>
      <w:rFonts w:ascii="宋体"/>
      <w:szCs w:val="21"/>
    </w:rPr>
  </w:style>
  <w:style w:type="paragraph" w:customStyle="1" w:styleId="28">
    <w:name w:val="段"/>
    <w:link w:val="5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autoRedefine/>
    <w:qFormat/>
    <w:uiPriority w:val="0"/>
    <w:pPr>
      <w:numPr>
        <w:ilvl w:val="0"/>
        <w:numId w:val="1"/>
      </w:numPr>
      <w:snapToGrid w:val="0"/>
      <w:jc w:val="left"/>
    </w:pPr>
    <w:rPr>
      <w:rFonts w:ascii="宋体"/>
      <w:sz w:val="18"/>
      <w:szCs w:val="18"/>
    </w:rPr>
  </w:style>
  <w:style w:type="paragraph" w:styleId="30">
    <w:name w:val="toc 6"/>
    <w:basedOn w:val="1"/>
    <w:next w:val="1"/>
    <w:semiHidden/>
    <w:qFormat/>
    <w:uiPriority w:val="0"/>
    <w:pPr>
      <w:tabs>
        <w:tab w:val="right" w:leader="dot" w:pos="9241"/>
      </w:tabs>
      <w:ind w:firstLine="400" w:firstLineChars="400"/>
      <w:jc w:val="left"/>
    </w:pPr>
    <w:rPr>
      <w:rFonts w:ascii="宋体"/>
      <w:szCs w:val="21"/>
    </w:rPr>
  </w:style>
  <w:style w:type="paragraph" w:styleId="31">
    <w:name w:val="index 7"/>
    <w:basedOn w:val="1"/>
    <w:next w:val="1"/>
    <w:autoRedefine/>
    <w:qFormat/>
    <w:uiPriority w:val="0"/>
    <w:pPr>
      <w:ind w:left="1470" w:hanging="210"/>
      <w:jc w:val="left"/>
    </w:pPr>
    <w:rPr>
      <w:rFonts w:ascii="Calibri" w:hAnsi="Calibri"/>
      <w:sz w:val="20"/>
      <w:szCs w:val="20"/>
    </w:rPr>
  </w:style>
  <w:style w:type="paragraph" w:styleId="32">
    <w:name w:val="index 9"/>
    <w:basedOn w:val="1"/>
    <w:next w:val="1"/>
    <w:qFormat/>
    <w:uiPriority w:val="0"/>
    <w:pPr>
      <w:ind w:left="1890" w:hanging="210"/>
      <w:jc w:val="left"/>
    </w:pPr>
    <w:rPr>
      <w:rFonts w:ascii="Calibri" w:hAnsi="Calibri"/>
      <w:sz w:val="20"/>
      <w:szCs w:val="20"/>
    </w:rPr>
  </w:style>
  <w:style w:type="paragraph" w:styleId="33">
    <w:name w:val="toc 2"/>
    <w:basedOn w:val="1"/>
    <w:next w:val="1"/>
    <w:semiHidden/>
    <w:qFormat/>
    <w:uiPriority w:val="0"/>
    <w:pPr>
      <w:tabs>
        <w:tab w:val="right" w:leader="dot" w:pos="9242"/>
      </w:tabs>
    </w:pPr>
    <w:rPr>
      <w:rFonts w:ascii="宋体"/>
      <w:szCs w:val="21"/>
    </w:rPr>
  </w:style>
  <w:style w:type="paragraph" w:styleId="34">
    <w:name w:val="toc 9"/>
    <w:basedOn w:val="1"/>
    <w:next w:val="1"/>
    <w:autoRedefine/>
    <w:semiHidden/>
    <w:qFormat/>
    <w:uiPriority w:val="0"/>
    <w:pPr>
      <w:ind w:left="1470"/>
      <w:jc w:val="left"/>
    </w:pPr>
    <w:rPr>
      <w:sz w:val="20"/>
      <w:szCs w:val="20"/>
    </w:rPr>
  </w:style>
  <w:style w:type="paragraph" w:styleId="3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7">
    <w:name w:val="index 2"/>
    <w:basedOn w:val="1"/>
    <w:next w:val="1"/>
    <w:autoRedefine/>
    <w:qFormat/>
    <w:uiPriority w:val="0"/>
    <w:pPr>
      <w:ind w:left="420" w:hanging="210"/>
      <w:jc w:val="left"/>
    </w:pPr>
    <w:rPr>
      <w:rFonts w:ascii="Calibri" w:hAnsi="Calibri"/>
      <w:sz w:val="20"/>
      <w:szCs w:val="20"/>
    </w:rPr>
  </w:style>
  <w:style w:type="paragraph" w:styleId="38">
    <w:name w:val="annotation subject"/>
    <w:basedOn w:val="10"/>
    <w:next w:val="10"/>
    <w:link w:val="54"/>
    <w:autoRedefine/>
    <w:qFormat/>
    <w:uiPriority w:val="0"/>
    <w:rPr>
      <w:b/>
      <w:bCs/>
    </w:rPr>
  </w:style>
  <w:style w:type="table" w:styleId="40">
    <w:name w:val="Table Grid"/>
    <w:basedOn w:val="39"/>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endnote reference"/>
    <w:semiHidden/>
    <w:qFormat/>
    <w:uiPriority w:val="0"/>
    <w:rPr>
      <w:vertAlign w:val="superscript"/>
    </w:rPr>
  </w:style>
  <w:style w:type="character" w:styleId="43">
    <w:name w:val="page number"/>
    <w:autoRedefine/>
    <w:qFormat/>
    <w:uiPriority w:val="0"/>
    <w:rPr>
      <w:rFonts w:ascii="Times New Roman" w:hAnsi="Times New Roman" w:eastAsia="宋体"/>
      <w:sz w:val="18"/>
    </w:rPr>
  </w:style>
  <w:style w:type="character" w:styleId="44">
    <w:name w:val="FollowedHyperlink"/>
    <w:autoRedefine/>
    <w:qFormat/>
    <w:uiPriority w:val="0"/>
    <w:rPr>
      <w:color w:val="800080"/>
      <w:u w:val="single"/>
    </w:rPr>
  </w:style>
  <w:style w:type="character" w:styleId="45">
    <w:name w:val="Emphasis"/>
    <w:basedOn w:val="41"/>
    <w:autoRedefine/>
    <w:qFormat/>
    <w:uiPriority w:val="0"/>
  </w:style>
  <w:style w:type="character" w:styleId="46">
    <w:name w:val="Hyperlink"/>
    <w:autoRedefine/>
    <w:qFormat/>
    <w:uiPriority w:val="99"/>
    <w:rPr>
      <w:color w:val="0000FF"/>
      <w:spacing w:val="0"/>
      <w:w w:val="100"/>
      <w:szCs w:val="21"/>
      <w:u w:val="single"/>
    </w:rPr>
  </w:style>
  <w:style w:type="character" w:styleId="47">
    <w:name w:val="annotation reference"/>
    <w:autoRedefine/>
    <w:qFormat/>
    <w:uiPriority w:val="0"/>
    <w:rPr>
      <w:sz w:val="21"/>
      <w:szCs w:val="21"/>
    </w:rPr>
  </w:style>
  <w:style w:type="character" w:styleId="48">
    <w:name w:val="footnote reference"/>
    <w:autoRedefine/>
    <w:semiHidden/>
    <w:qFormat/>
    <w:uiPriority w:val="0"/>
    <w:rPr>
      <w:vertAlign w:val="superscript"/>
    </w:rPr>
  </w:style>
  <w:style w:type="character" w:customStyle="1" w:styleId="49">
    <w:name w:val="标题 1 字符"/>
    <w:link w:val="2"/>
    <w:autoRedefine/>
    <w:qFormat/>
    <w:uiPriority w:val="99"/>
    <w:rPr>
      <w:rFonts w:ascii="黑体" w:hAnsi="黑体" w:eastAsia="黑体" w:cs="宋体"/>
      <w:color w:val="000000"/>
      <w:kern w:val="2"/>
      <w:sz w:val="32"/>
      <w:szCs w:val="32"/>
    </w:rPr>
  </w:style>
  <w:style w:type="character" w:customStyle="1" w:styleId="50">
    <w:name w:val="标题 2 字符"/>
    <w:link w:val="3"/>
    <w:autoRedefine/>
    <w:qFormat/>
    <w:uiPriority w:val="99"/>
    <w:rPr>
      <w:rFonts w:ascii="黑体" w:hAnsi="黑体" w:eastAsia="黑体" w:cs="宋体"/>
      <w:color w:val="000000"/>
      <w:kern w:val="2"/>
      <w:sz w:val="24"/>
      <w:szCs w:val="24"/>
    </w:rPr>
  </w:style>
  <w:style w:type="character" w:customStyle="1" w:styleId="51">
    <w:name w:val="批注文字 字符"/>
    <w:link w:val="10"/>
    <w:autoRedefine/>
    <w:qFormat/>
    <w:uiPriority w:val="0"/>
    <w:rPr>
      <w:kern w:val="2"/>
      <w:sz w:val="21"/>
      <w:szCs w:val="24"/>
    </w:rPr>
  </w:style>
  <w:style w:type="character" w:customStyle="1" w:styleId="52">
    <w:name w:val="批注框文本 字符"/>
    <w:link w:val="21"/>
    <w:autoRedefine/>
    <w:qFormat/>
    <w:uiPriority w:val="0"/>
    <w:rPr>
      <w:kern w:val="2"/>
      <w:sz w:val="18"/>
      <w:szCs w:val="18"/>
    </w:rPr>
  </w:style>
  <w:style w:type="character" w:customStyle="1" w:styleId="53">
    <w:name w:val="段 Char"/>
    <w:link w:val="28"/>
    <w:autoRedefine/>
    <w:qFormat/>
    <w:uiPriority w:val="0"/>
    <w:rPr>
      <w:rFonts w:ascii="宋体"/>
      <w:sz w:val="21"/>
      <w:lang w:val="en-US" w:eastAsia="zh-CN" w:bidi="ar-SA"/>
    </w:rPr>
  </w:style>
  <w:style w:type="character" w:customStyle="1" w:styleId="54">
    <w:name w:val="批注主题 字符"/>
    <w:link w:val="38"/>
    <w:autoRedefine/>
    <w:qFormat/>
    <w:uiPriority w:val="0"/>
    <w:rPr>
      <w:b/>
      <w:bCs/>
      <w:kern w:val="2"/>
      <w:sz w:val="21"/>
      <w:szCs w:val="24"/>
    </w:rPr>
  </w:style>
  <w:style w:type="character" w:customStyle="1" w:styleId="55">
    <w:name w:val="发布"/>
    <w:autoRedefine/>
    <w:qFormat/>
    <w:uiPriority w:val="0"/>
    <w:rPr>
      <w:rFonts w:ascii="黑体" w:eastAsia="黑体"/>
      <w:spacing w:val="85"/>
      <w:w w:val="100"/>
      <w:position w:val="3"/>
      <w:sz w:val="28"/>
      <w:szCs w:val="28"/>
    </w:rPr>
  </w:style>
  <w:style w:type="character" w:customStyle="1" w:styleId="56">
    <w:name w:val="样式1 Char"/>
    <w:basedOn w:val="57"/>
    <w:link w:val="59"/>
    <w:autoRedefine/>
    <w:qFormat/>
    <w:uiPriority w:val="0"/>
    <w:rPr>
      <w:rFonts w:ascii="宋体"/>
      <w:sz w:val="21"/>
      <w:lang w:val="en-US" w:eastAsia="zh-CN" w:bidi="ar-SA"/>
    </w:rPr>
  </w:style>
  <w:style w:type="character" w:customStyle="1" w:styleId="57">
    <w:name w:val="字母编号列项（一级） Char"/>
    <w:link w:val="58"/>
    <w:autoRedefine/>
    <w:qFormat/>
    <w:uiPriority w:val="0"/>
    <w:rPr>
      <w:rFonts w:ascii="宋体"/>
      <w:sz w:val="21"/>
      <w:lang w:val="en-US" w:eastAsia="zh-CN" w:bidi="ar-SA"/>
    </w:rPr>
  </w:style>
  <w:style w:type="paragraph" w:customStyle="1" w:styleId="58">
    <w:name w:val="字母编号列项（一级）"/>
    <w:link w:val="57"/>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59">
    <w:name w:val="样式1"/>
    <w:basedOn w:val="58"/>
    <w:link w:val="56"/>
    <w:autoRedefine/>
    <w:qFormat/>
    <w:uiPriority w:val="0"/>
    <w:pPr>
      <w:tabs>
        <w:tab w:val="left" w:pos="988"/>
        <w:tab w:val="clear" w:pos="840"/>
      </w:tabs>
      <w:ind w:left="987"/>
    </w:pPr>
  </w:style>
  <w:style w:type="character" w:customStyle="1" w:styleId="60">
    <w:name w:val="一级条标题 Char"/>
    <w:link w:val="61"/>
    <w:autoRedefine/>
    <w:qFormat/>
    <w:uiPriority w:val="0"/>
    <w:rPr>
      <w:rFonts w:ascii="黑体" w:eastAsia="黑体"/>
      <w:sz w:val="21"/>
      <w:szCs w:val="21"/>
      <w:lang w:val="en-US" w:eastAsia="zh-CN" w:bidi="ar-SA"/>
    </w:rPr>
  </w:style>
  <w:style w:type="paragraph" w:customStyle="1" w:styleId="61">
    <w:name w:val="一级条标题"/>
    <w:next w:val="28"/>
    <w:link w:val="60"/>
    <w:autoRedefine/>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62">
    <w:name w:val="注： Char"/>
    <w:link w:val="63"/>
    <w:autoRedefine/>
    <w:qFormat/>
    <w:uiPriority w:val="0"/>
    <w:rPr>
      <w:rFonts w:ascii="宋体"/>
      <w:sz w:val="18"/>
      <w:szCs w:val="18"/>
      <w:lang w:val="en-US" w:eastAsia="zh-CN" w:bidi="ar-SA"/>
    </w:rPr>
  </w:style>
  <w:style w:type="paragraph" w:customStyle="1" w:styleId="63">
    <w:name w:val="注："/>
    <w:next w:val="28"/>
    <w:link w:val="62"/>
    <w:autoRedefine/>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character" w:customStyle="1" w:styleId="64">
    <w:name w:val="首示例 Char"/>
    <w:link w:val="65"/>
    <w:autoRedefine/>
    <w:qFormat/>
    <w:uiPriority w:val="0"/>
    <w:rPr>
      <w:rFonts w:ascii="宋体" w:hAnsi="宋体"/>
      <w:kern w:val="2"/>
      <w:sz w:val="18"/>
      <w:szCs w:val="18"/>
      <w:lang w:val="en-US" w:eastAsia="zh-CN" w:bidi="ar-SA"/>
    </w:rPr>
  </w:style>
  <w:style w:type="paragraph" w:customStyle="1" w:styleId="65">
    <w:name w:val="首示例"/>
    <w:next w:val="28"/>
    <w:link w:val="64"/>
    <w:autoRedefine/>
    <w:qFormat/>
    <w:uiPriority w:val="0"/>
    <w:pPr>
      <w:numPr>
        <w:ilvl w:val="0"/>
        <w:numId w:val="5"/>
      </w:numPr>
      <w:tabs>
        <w:tab w:val="left" w:pos="360"/>
      </w:tabs>
      <w:ind w:firstLine="0"/>
    </w:pPr>
    <w:rPr>
      <w:rFonts w:ascii="宋体" w:hAnsi="宋体" w:eastAsia="宋体" w:cs="Times New Roman"/>
      <w:kern w:val="2"/>
      <w:sz w:val="18"/>
      <w:szCs w:val="18"/>
      <w:lang w:val="en-US" w:eastAsia="zh-CN" w:bidi="ar-SA"/>
    </w:rPr>
  </w:style>
  <w:style w:type="character" w:customStyle="1" w:styleId="66">
    <w:name w:val="正文文本 + 10.5 pt"/>
    <w:autoRedefine/>
    <w:qFormat/>
    <w:uiPriority w:val="0"/>
    <w:rPr>
      <w:rFonts w:ascii="宋体" w:hAnsi="宋体" w:eastAsia="宋体" w:cs="宋体"/>
      <w:color w:val="000000"/>
      <w:spacing w:val="40"/>
      <w:w w:val="100"/>
      <w:position w:val="0"/>
      <w:sz w:val="21"/>
      <w:szCs w:val="21"/>
      <w:u w:val="none"/>
      <w:shd w:val="clear" w:color="auto" w:fill="FFFFFF"/>
      <w:lang w:val="zh-CN" w:eastAsia="zh-CN" w:bidi="zh-CN"/>
    </w:rPr>
  </w:style>
  <w:style w:type="character" w:customStyle="1" w:styleId="67">
    <w:name w:val="二级无 Char"/>
    <w:link w:val="68"/>
    <w:autoRedefine/>
    <w:qFormat/>
    <w:uiPriority w:val="0"/>
    <w:rPr>
      <w:rFonts w:ascii="宋体"/>
      <w:sz w:val="21"/>
      <w:szCs w:val="21"/>
    </w:rPr>
  </w:style>
  <w:style w:type="paragraph" w:customStyle="1" w:styleId="68">
    <w:name w:val="二级无"/>
    <w:basedOn w:val="69"/>
    <w:link w:val="67"/>
    <w:autoRedefine/>
    <w:qFormat/>
    <w:uiPriority w:val="0"/>
    <w:pPr>
      <w:spacing w:before="0" w:beforeLines="0" w:after="0" w:afterLines="0"/>
    </w:pPr>
    <w:rPr>
      <w:rFonts w:ascii="宋体" w:eastAsia="宋体"/>
    </w:rPr>
  </w:style>
  <w:style w:type="paragraph" w:customStyle="1" w:styleId="69">
    <w:name w:val="二级条标题"/>
    <w:basedOn w:val="61"/>
    <w:next w:val="28"/>
    <w:autoRedefine/>
    <w:qFormat/>
    <w:uiPriority w:val="0"/>
    <w:pPr>
      <w:numPr>
        <w:ilvl w:val="2"/>
      </w:numPr>
      <w:spacing w:before="50" w:after="50"/>
      <w:outlineLvl w:val="3"/>
    </w:pPr>
  </w:style>
  <w:style w:type="character" w:customStyle="1" w:styleId="70">
    <w:name w:val="附录公式 Char"/>
    <w:basedOn w:val="53"/>
    <w:link w:val="71"/>
    <w:autoRedefine/>
    <w:qFormat/>
    <w:uiPriority w:val="0"/>
    <w:rPr>
      <w:rFonts w:ascii="宋体"/>
      <w:sz w:val="21"/>
      <w:lang w:val="en-US" w:eastAsia="zh-CN" w:bidi="ar-SA"/>
    </w:rPr>
  </w:style>
  <w:style w:type="paragraph" w:customStyle="1" w:styleId="71">
    <w:name w:val="附录公式"/>
    <w:basedOn w:val="28"/>
    <w:next w:val="28"/>
    <w:link w:val="70"/>
    <w:autoRedefine/>
    <w:qFormat/>
    <w:uiPriority w:val="0"/>
  </w:style>
  <w:style w:type="paragraph" w:customStyle="1" w:styleId="72">
    <w:name w:val="图标脚注说明"/>
    <w:basedOn w:val="28"/>
    <w:autoRedefine/>
    <w:qFormat/>
    <w:uiPriority w:val="0"/>
    <w:pPr>
      <w:ind w:left="840" w:hanging="420" w:firstLineChars="0"/>
    </w:pPr>
    <w:rPr>
      <w:sz w:val="18"/>
      <w:szCs w:val="18"/>
    </w:rPr>
  </w:style>
  <w:style w:type="paragraph" w:customStyle="1" w:styleId="73">
    <w:name w:val="封面标准文稿编辑信息2"/>
    <w:basedOn w:val="74"/>
    <w:qFormat/>
    <w:uiPriority w:val="0"/>
    <w:pPr>
      <w:framePr w:wrap="around" w:y="4469"/>
    </w:pPr>
  </w:style>
  <w:style w:type="paragraph" w:customStyle="1" w:styleId="74">
    <w:name w:val="封面标准文稿编辑信息"/>
    <w:basedOn w:val="75"/>
    <w:qFormat/>
    <w:uiPriority w:val="0"/>
    <w:pPr>
      <w:framePr w:wrap="around"/>
      <w:spacing w:before="180" w:line="180" w:lineRule="exact"/>
    </w:pPr>
    <w:rPr>
      <w:sz w:val="21"/>
    </w:rPr>
  </w:style>
  <w:style w:type="paragraph" w:customStyle="1" w:styleId="75">
    <w:name w:val="封面标准文稿类别"/>
    <w:basedOn w:val="76"/>
    <w:autoRedefine/>
    <w:qFormat/>
    <w:uiPriority w:val="0"/>
    <w:pPr>
      <w:framePr w:wrap="around"/>
      <w:spacing w:after="160" w:line="240" w:lineRule="auto"/>
    </w:pPr>
    <w:rPr>
      <w:sz w:val="24"/>
    </w:rPr>
  </w:style>
  <w:style w:type="paragraph" w:customStyle="1" w:styleId="76">
    <w:name w:val="封面一致性程度标识"/>
    <w:basedOn w:val="77"/>
    <w:autoRedefine/>
    <w:qFormat/>
    <w:uiPriority w:val="0"/>
    <w:pPr>
      <w:framePr w:wrap="around"/>
      <w:spacing w:before="440"/>
    </w:pPr>
    <w:rPr>
      <w:rFonts w:ascii="宋体" w:eastAsia="宋体"/>
    </w:rPr>
  </w:style>
  <w:style w:type="paragraph" w:customStyle="1" w:styleId="77">
    <w:name w:val="封面标准英文名称"/>
    <w:basedOn w:val="78"/>
    <w:autoRedefine/>
    <w:qFormat/>
    <w:uiPriority w:val="0"/>
    <w:pPr>
      <w:framePr w:wrap="around"/>
      <w:spacing w:before="370" w:line="400" w:lineRule="exact"/>
    </w:pPr>
    <w:rPr>
      <w:rFonts w:ascii="Times New Roman"/>
      <w:sz w:val="28"/>
      <w:szCs w:val="28"/>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0">
    <w:name w:val="附录二级条标题"/>
    <w:basedOn w:val="1"/>
    <w:next w:val="28"/>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1">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82">
    <w:name w:val="_Style 80"/>
    <w:semiHidden/>
    <w:qFormat/>
    <w:uiPriority w:val="99"/>
    <w:rPr>
      <w:rFonts w:ascii="Times New Roman" w:hAnsi="Times New Roman" w:eastAsia="宋体" w:cs="Times New Roman"/>
      <w:kern w:val="2"/>
      <w:sz w:val="21"/>
      <w:szCs w:val="24"/>
      <w:lang w:val="en-US" w:eastAsia="zh-CN" w:bidi="ar-SA"/>
    </w:rPr>
  </w:style>
  <w:style w:type="paragraph" w:customStyle="1" w:styleId="83">
    <w:name w:val="标准书眉_偶数页"/>
    <w:basedOn w:val="84"/>
    <w:next w:val="1"/>
    <w:qFormat/>
    <w:uiPriority w:val="0"/>
    <w:pPr>
      <w:tabs>
        <w:tab w:val="center" w:pos="4154"/>
        <w:tab w:val="right" w:pos="8306"/>
      </w:tabs>
      <w:jc w:val="left"/>
    </w:p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6">
    <w:name w:val="附录标识"/>
    <w:basedOn w:val="1"/>
    <w:next w:val="28"/>
    <w:qFormat/>
    <w:uiPriority w:val="0"/>
    <w:pPr>
      <w:keepNext/>
      <w:widowControl/>
      <w:numPr>
        <w:ilvl w:val="0"/>
        <w:numId w:val="6"/>
      </w:numPr>
      <w:shd w:val="clear" w:color="FFFFFF" w:fill="FFFFFF"/>
      <w:tabs>
        <w:tab w:val="left" w:pos="6405"/>
      </w:tabs>
      <w:spacing w:before="640" w:after="280"/>
      <w:jc w:val="center"/>
      <w:outlineLvl w:val="0"/>
    </w:pPr>
    <w:rPr>
      <w:rFonts w:ascii="黑体" w:eastAsia="黑体"/>
      <w:kern w:val="0"/>
      <w:szCs w:val="20"/>
    </w:rPr>
  </w:style>
  <w:style w:type="paragraph" w:customStyle="1" w:styleId="87">
    <w:name w:val="五级条标题"/>
    <w:basedOn w:val="88"/>
    <w:next w:val="28"/>
    <w:qFormat/>
    <w:uiPriority w:val="0"/>
    <w:pPr>
      <w:numPr>
        <w:ilvl w:val="5"/>
      </w:numPr>
      <w:outlineLvl w:val="6"/>
    </w:pPr>
  </w:style>
  <w:style w:type="paragraph" w:customStyle="1" w:styleId="88">
    <w:name w:val="四级条标题"/>
    <w:basedOn w:val="89"/>
    <w:next w:val="28"/>
    <w:qFormat/>
    <w:uiPriority w:val="0"/>
    <w:pPr>
      <w:numPr>
        <w:ilvl w:val="4"/>
      </w:numPr>
      <w:outlineLvl w:val="5"/>
    </w:pPr>
  </w:style>
  <w:style w:type="paragraph" w:customStyle="1" w:styleId="89">
    <w:name w:val="三级条标题"/>
    <w:basedOn w:val="69"/>
    <w:next w:val="28"/>
    <w:autoRedefine/>
    <w:qFormat/>
    <w:uiPriority w:val="0"/>
    <w:pPr>
      <w:numPr>
        <w:ilvl w:val="3"/>
      </w:numPr>
      <w:outlineLvl w:val="4"/>
    </w:pPr>
  </w:style>
  <w:style w:type="paragraph" w:customStyle="1" w:styleId="90">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1">
    <w:name w:val="附录五级无"/>
    <w:basedOn w:val="92"/>
    <w:qFormat/>
    <w:uiPriority w:val="0"/>
    <w:pPr>
      <w:tabs>
        <w:tab w:val="left" w:pos="360"/>
      </w:tabs>
      <w:spacing w:before="0" w:beforeLines="0" w:after="0" w:afterLines="0"/>
    </w:pPr>
    <w:rPr>
      <w:rFonts w:ascii="宋体" w:eastAsia="宋体"/>
      <w:szCs w:val="21"/>
    </w:rPr>
  </w:style>
  <w:style w:type="paragraph" w:customStyle="1" w:styleId="92">
    <w:name w:val="附录五级条标题"/>
    <w:basedOn w:val="93"/>
    <w:next w:val="28"/>
    <w:autoRedefine/>
    <w:qFormat/>
    <w:uiPriority w:val="0"/>
    <w:pPr>
      <w:numPr>
        <w:ilvl w:val="6"/>
      </w:numPr>
      <w:tabs>
        <w:tab w:val="left" w:pos="360"/>
      </w:tabs>
      <w:outlineLvl w:val="6"/>
    </w:pPr>
  </w:style>
  <w:style w:type="paragraph" w:customStyle="1" w:styleId="93">
    <w:name w:val="附录四级条标题"/>
    <w:basedOn w:val="94"/>
    <w:next w:val="28"/>
    <w:autoRedefine/>
    <w:qFormat/>
    <w:uiPriority w:val="0"/>
    <w:pPr>
      <w:numPr>
        <w:ilvl w:val="5"/>
      </w:numPr>
      <w:tabs>
        <w:tab w:val="left" w:pos="360"/>
      </w:tabs>
      <w:outlineLvl w:val="5"/>
    </w:pPr>
  </w:style>
  <w:style w:type="paragraph" w:customStyle="1" w:styleId="94">
    <w:name w:val="附录三级条标题"/>
    <w:basedOn w:val="80"/>
    <w:next w:val="28"/>
    <w:autoRedefine/>
    <w:qFormat/>
    <w:uiPriority w:val="0"/>
    <w:pPr>
      <w:numPr>
        <w:ilvl w:val="4"/>
      </w:numPr>
      <w:outlineLvl w:val="4"/>
    </w:pPr>
  </w:style>
  <w:style w:type="paragraph" w:customStyle="1" w:styleId="95">
    <w:name w:val="发布部门"/>
    <w:next w:val="28"/>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附录表标题"/>
    <w:basedOn w:val="1"/>
    <w:next w:val="28"/>
    <w:autoRedefine/>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97">
    <w:name w:val="参考文献"/>
    <w:basedOn w:val="1"/>
    <w:next w:val="28"/>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8">
    <w:name w:val="其他发布部门"/>
    <w:basedOn w:val="95"/>
    <w:qFormat/>
    <w:uiPriority w:val="0"/>
    <w:pPr>
      <w:framePr w:wrap="around" w:y="15310"/>
      <w:spacing w:line="0" w:lineRule="atLeast"/>
    </w:pPr>
    <w:rPr>
      <w:rFonts w:ascii="黑体" w:eastAsia="黑体"/>
      <w:b w:val="0"/>
    </w:rPr>
  </w:style>
  <w:style w:type="paragraph" w:customStyle="1" w:styleId="99">
    <w:name w:val="附录数字编号列项（二级）"/>
    <w:autoRedefine/>
    <w:qFormat/>
    <w:uiPriority w:val="0"/>
    <w:pPr>
      <w:numPr>
        <w:ilvl w:val="1"/>
        <w:numId w:val="8"/>
      </w:numPr>
    </w:pPr>
    <w:rPr>
      <w:rFonts w:ascii="宋体" w:hAnsi="Times New Roman" w:eastAsia="宋体" w:cs="Times New Roman"/>
      <w:sz w:val="21"/>
      <w:lang w:val="en-US" w:eastAsia="zh-CN" w:bidi="ar-SA"/>
    </w:rPr>
  </w:style>
  <w:style w:type="paragraph" w:customStyle="1" w:styleId="100">
    <w:name w:val="附录一级无"/>
    <w:basedOn w:val="101"/>
    <w:qFormat/>
    <w:uiPriority w:val="0"/>
    <w:pPr>
      <w:tabs>
        <w:tab w:val="left" w:pos="360"/>
      </w:tabs>
      <w:spacing w:before="0" w:beforeLines="0" w:after="0" w:afterLines="0"/>
    </w:pPr>
    <w:rPr>
      <w:rFonts w:ascii="宋体" w:eastAsia="宋体"/>
      <w:szCs w:val="21"/>
    </w:rPr>
  </w:style>
  <w:style w:type="paragraph" w:customStyle="1" w:styleId="101">
    <w:name w:val="附录一级条标题"/>
    <w:basedOn w:val="102"/>
    <w:next w:val="28"/>
    <w:autoRedefine/>
    <w:qFormat/>
    <w:uiPriority w:val="0"/>
    <w:pPr>
      <w:numPr>
        <w:ilvl w:val="2"/>
      </w:numPr>
      <w:tabs>
        <w:tab w:val="left" w:pos="360"/>
      </w:tabs>
      <w:autoSpaceDN w:val="0"/>
      <w:spacing w:before="50" w:beforeLines="50" w:after="50" w:afterLines="50"/>
      <w:outlineLvl w:val="2"/>
    </w:pPr>
  </w:style>
  <w:style w:type="paragraph" w:customStyle="1" w:styleId="102">
    <w:name w:val="附录章标题"/>
    <w:next w:val="28"/>
    <w:autoRedefine/>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三级无"/>
    <w:basedOn w:val="94"/>
    <w:autoRedefine/>
    <w:qFormat/>
    <w:uiPriority w:val="0"/>
    <w:pPr>
      <w:tabs>
        <w:tab w:val="clear" w:pos="360"/>
      </w:tabs>
      <w:spacing w:before="0" w:beforeLines="0" w:after="0" w:afterLines="0"/>
    </w:pPr>
    <w:rPr>
      <w:rFonts w:ascii="宋体" w:eastAsia="宋体"/>
      <w:szCs w:val="21"/>
    </w:rPr>
  </w:style>
  <w:style w:type="paragraph" w:customStyle="1" w:styleId="104">
    <w:name w:val="条文脚注"/>
    <w:basedOn w:val="29"/>
    <w:autoRedefine/>
    <w:qFormat/>
    <w:uiPriority w:val="0"/>
    <w:pPr>
      <w:numPr>
        <w:numId w:val="0"/>
      </w:numPr>
      <w:jc w:val="both"/>
    </w:pPr>
  </w:style>
  <w:style w:type="paragraph" w:customStyle="1" w:styleId="105">
    <w:name w:val="其他实施日期"/>
    <w:basedOn w:val="106"/>
    <w:autoRedefine/>
    <w:qFormat/>
    <w:uiPriority w:val="0"/>
    <w:pPr>
      <w:framePr w:wrap="around"/>
    </w:pPr>
  </w:style>
  <w:style w:type="paragraph" w:customStyle="1" w:styleId="106">
    <w:name w:val="实施日期"/>
    <w:basedOn w:val="90"/>
    <w:autoRedefine/>
    <w:qFormat/>
    <w:uiPriority w:val="0"/>
    <w:pPr>
      <w:framePr w:wrap="around" w:vAnchor="page" w:hAnchor="text"/>
      <w:jc w:val="right"/>
    </w:pPr>
  </w:style>
  <w:style w:type="paragraph" w:customStyle="1" w:styleId="107">
    <w:name w:val="示例后文字"/>
    <w:basedOn w:val="28"/>
    <w:next w:val="28"/>
    <w:autoRedefine/>
    <w:qFormat/>
    <w:uiPriority w:val="0"/>
    <w:pPr>
      <w:ind w:firstLine="360"/>
    </w:pPr>
    <w:rPr>
      <w:sz w:val="18"/>
    </w:rPr>
  </w:style>
  <w:style w:type="paragraph" w:customStyle="1" w:styleId="108">
    <w:name w:val="封面正文"/>
    <w:autoRedefine/>
    <w:qFormat/>
    <w:uiPriority w:val="0"/>
    <w:pPr>
      <w:jc w:val="both"/>
    </w:pPr>
    <w:rPr>
      <w:rFonts w:ascii="Times New Roman" w:hAnsi="Times New Roman" w:eastAsia="宋体" w:cs="Times New Roman"/>
      <w:lang w:val="en-US" w:eastAsia="zh-CN" w:bidi="ar-SA"/>
    </w:rPr>
  </w:style>
  <w:style w:type="paragraph" w:customStyle="1" w:styleId="109">
    <w:name w:val="附录字母编号列项（一级）"/>
    <w:autoRedefine/>
    <w:qFormat/>
    <w:uiPriority w:val="0"/>
    <w:pPr>
      <w:numPr>
        <w:ilvl w:val="0"/>
        <w:numId w:val="8"/>
      </w:numPr>
    </w:pPr>
    <w:rPr>
      <w:rFonts w:ascii="宋体" w:hAnsi="Times New Roman" w:eastAsia="宋体" w:cs="Times New Roman"/>
      <w:sz w:val="21"/>
      <w:lang w:val="en-US" w:eastAsia="zh-CN" w:bidi="ar-SA"/>
    </w:rPr>
  </w:style>
  <w:style w:type="paragraph" w:customStyle="1" w:styleId="110">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1">
    <w:name w:val="章标题"/>
    <w:next w:val="28"/>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2">
    <w:name w:val="其他发布日期"/>
    <w:basedOn w:val="90"/>
    <w:qFormat/>
    <w:uiPriority w:val="0"/>
    <w:pPr>
      <w:framePr w:wrap="around" w:vAnchor="page" w:hAnchor="text" w:x="1419"/>
    </w:pPr>
  </w:style>
  <w:style w:type="paragraph" w:customStyle="1" w:styleId="1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4">
    <w:name w:val="封面标准英文名称2"/>
    <w:basedOn w:val="77"/>
    <w:qFormat/>
    <w:uiPriority w:val="0"/>
    <w:pPr>
      <w:framePr w:wrap="around" w:y="4469"/>
    </w:pPr>
  </w:style>
  <w:style w:type="paragraph" w:customStyle="1" w:styleId="115">
    <w:name w:val="附录标题"/>
    <w:basedOn w:val="28"/>
    <w:next w:val="28"/>
    <w:qFormat/>
    <w:uiPriority w:val="0"/>
    <w:pPr>
      <w:ind w:firstLine="0" w:firstLineChars="0"/>
      <w:jc w:val="center"/>
    </w:pPr>
    <w:rPr>
      <w:rFonts w:ascii="黑体" w:eastAsia="黑体"/>
    </w:rPr>
  </w:style>
  <w:style w:type="paragraph" w:customStyle="1" w:styleId="116">
    <w:name w:val="列项●（二级）"/>
    <w:autoRedefine/>
    <w:qFormat/>
    <w:uiPriority w:val="0"/>
    <w:pPr>
      <w:numPr>
        <w:ilvl w:val="1"/>
        <w:numId w:val="9"/>
      </w:numPr>
      <w:tabs>
        <w:tab w:val="left" w:pos="840"/>
      </w:tabs>
      <w:jc w:val="both"/>
    </w:pPr>
    <w:rPr>
      <w:rFonts w:ascii="宋体" w:hAnsi="Times New Roman" w:eastAsia="宋体" w:cs="Times New Roman"/>
      <w:sz w:val="21"/>
      <w:lang w:val="en-US" w:eastAsia="zh-CN" w:bidi="ar-SA"/>
    </w:rPr>
  </w:style>
  <w:style w:type="paragraph" w:customStyle="1" w:styleId="117">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8">
    <w:name w:val="标准书眉一"/>
    <w:autoRedefine/>
    <w:qFormat/>
    <w:uiPriority w:val="0"/>
    <w:pPr>
      <w:jc w:val="both"/>
    </w:pPr>
    <w:rPr>
      <w:rFonts w:ascii="Times New Roman" w:hAnsi="Times New Roman" w:eastAsia="宋体" w:cs="Times New Roman"/>
      <w:lang w:val="en-US" w:eastAsia="zh-CN" w:bidi="ar-SA"/>
    </w:rPr>
  </w:style>
  <w:style w:type="paragraph" w:customStyle="1" w:styleId="119">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0">
    <w:name w:val="附录图标题"/>
    <w:basedOn w:val="1"/>
    <w:next w:val="28"/>
    <w:autoRedefine/>
    <w:qFormat/>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121">
    <w:name w:val="列项——（一级）"/>
    <w:autoRedefine/>
    <w:qFormat/>
    <w:uiPriority w:val="0"/>
    <w:pPr>
      <w:widowControl w:val="0"/>
      <w:numPr>
        <w:ilvl w:val="0"/>
        <w:numId w:val="9"/>
      </w:numPr>
      <w:jc w:val="both"/>
    </w:pPr>
    <w:rPr>
      <w:rFonts w:ascii="宋体" w:hAnsi="Times New Roman" w:eastAsia="宋体" w:cs="Times New Roman"/>
      <w:sz w:val="21"/>
      <w:lang w:val="en-US" w:eastAsia="zh-CN" w:bidi="ar-SA"/>
    </w:rPr>
  </w:style>
  <w:style w:type="paragraph" w:customStyle="1" w:styleId="122">
    <w:name w:val="五级无"/>
    <w:basedOn w:val="87"/>
    <w:autoRedefine/>
    <w:qFormat/>
    <w:uiPriority w:val="0"/>
    <w:pPr>
      <w:spacing w:before="0" w:beforeLines="0" w:after="0" w:afterLines="0"/>
    </w:pPr>
    <w:rPr>
      <w:rFonts w:ascii="宋体" w:eastAsia="宋体"/>
    </w:rPr>
  </w:style>
  <w:style w:type="paragraph" w:customStyle="1" w:styleId="123">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4">
    <w:name w:val="封面标准文稿类别2"/>
    <w:basedOn w:val="75"/>
    <w:autoRedefine/>
    <w:qFormat/>
    <w:uiPriority w:val="0"/>
    <w:pPr>
      <w:framePr w:wrap="around" w:y="4469"/>
    </w:pPr>
  </w:style>
  <w:style w:type="paragraph" w:customStyle="1" w:styleId="12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6">
    <w:name w:val="注×："/>
    <w:autoRedefine/>
    <w:qFormat/>
    <w:uiPriority w:val="0"/>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127">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28">
    <w:name w:val="参考文献、索引标题"/>
    <w:basedOn w:val="1"/>
    <w:next w:val="28"/>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styleId="129">
    <w:name w:val="List Paragraph"/>
    <w:basedOn w:val="1"/>
    <w:autoRedefine/>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3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1">
    <w:name w:val="正文公式编号制表符"/>
    <w:basedOn w:val="28"/>
    <w:next w:val="28"/>
    <w:autoRedefine/>
    <w:qFormat/>
    <w:uiPriority w:val="0"/>
    <w:pPr>
      <w:ind w:firstLine="0" w:firstLineChars="0"/>
    </w:pPr>
  </w:style>
  <w:style w:type="paragraph" w:customStyle="1" w:styleId="132">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3">
    <w:name w:val="附录公式编号制表符"/>
    <w:basedOn w:val="1"/>
    <w:next w:val="28"/>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34">
    <w:name w:val="附录表标号"/>
    <w:basedOn w:val="1"/>
    <w:next w:val="28"/>
    <w:autoRedefine/>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135">
    <w:name w:val="附录四级无"/>
    <w:basedOn w:val="93"/>
    <w:autoRedefine/>
    <w:qFormat/>
    <w:uiPriority w:val="0"/>
    <w:pPr>
      <w:tabs>
        <w:tab w:val="clear" w:pos="360"/>
      </w:tabs>
      <w:spacing w:before="0" w:beforeLines="0" w:after="0" w:afterLines="0"/>
    </w:pPr>
    <w:rPr>
      <w:rFonts w:ascii="宋体" w:eastAsia="宋体"/>
      <w:szCs w:val="21"/>
    </w:rPr>
  </w:style>
  <w:style w:type="paragraph" w:customStyle="1" w:styleId="136">
    <w:name w:val="前言、引言标题"/>
    <w:next w:val="28"/>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7">
    <w:name w:val="注×：（正文）"/>
    <w:autoRedefine/>
    <w:qFormat/>
    <w:uiPriority w:val="0"/>
    <w:pPr>
      <w:numPr>
        <w:ilvl w:val="0"/>
        <w:numId w:val="12"/>
      </w:numPr>
      <w:jc w:val="both"/>
    </w:pPr>
    <w:rPr>
      <w:rFonts w:ascii="宋体" w:hAnsi="Times New Roman" w:eastAsia="宋体" w:cs="Times New Roman"/>
      <w:sz w:val="18"/>
      <w:szCs w:val="18"/>
      <w:lang w:val="en-US" w:eastAsia="zh-CN" w:bidi="ar-SA"/>
    </w:rPr>
  </w:style>
  <w:style w:type="paragraph" w:customStyle="1" w:styleId="138">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9">
    <w:name w:val="其他标准标志"/>
    <w:basedOn w:val="113"/>
    <w:autoRedefine/>
    <w:qFormat/>
    <w:uiPriority w:val="0"/>
    <w:pPr>
      <w:framePr w:w="6101" w:wrap="around" w:vAnchor="page" w:hAnchor="page" w:x="4673" w:y="942"/>
    </w:pPr>
    <w:rPr>
      <w:w w:val="130"/>
    </w:rPr>
  </w:style>
  <w:style w:type="paragraph" w:customStyle="1" w:styleId="140">
    <w:name w:val="附录二级无"/>
    <w:basedOn w:val="80"/>
    <w:autoRedefine/>
    <w:qFormat/>
    <w:uiPriority w:val="0"/>
    <w:pPr>
      <w:tabs>
        <w:tab w:val="clear" w:pos="360"/>
      </w:tabs>
      <w:spacing w:before="0" w:beforeLines="0" w:after="0" w:afterLines="0"/>
    </w:pPr>
    <w:rPr>
      <w:rFonts w:ascii="宋体" w:eastAsia="宋体"/>
      <w:szCs w:val="21"/>
    </w:rPr>
  </w:style>
  <w:style w:type="paragraph" w:customStyle="1" w:styleId="141">
    <w:name w:val="正文图标题"/>
    <w:next w:val="28"/>
    <w:autoRedefine/>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2">
    <w:name w:val="注：（正文）"/>
    <w:basedOn w:val="63"/>
    <w:next w:val="28"/>
    <w:autoRedefine/>
    <w:qFormat/>
    <w:uiPriority w:val="0"/>
  </w:style>
  <w:style w:type="paragraph" w:customStyle="1" w:styleId="143">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144">
    <w:name w:val="终结线"/>
    <w:basedOn w:val="1"/>
    <w:autoRedefine/>
    <w:qFormat/>
    <w:uiPriority w:val="0"/>
    <w:pPr>
      <w:framePr w:hSpace="181" w:vSpace="181" w:wrap="around" w:vAnchor="text" w:hAnchor="margin" w:xAlign="center" w:y="285"/>
    </w:pPr>
  </w:style>
  <w:style w:type="paragraph" w:customStyle="1" w:styleId="145">
    <w:name w:val="示例×："/>
    <w:basedOn w:val="111"/>
    <w:autoRedefine/>
    <w:qFormat/>
    <w:uiPriority w:val="0"/>
    <w:pPr>
      <w:numPr>
        <w:numId w:val="14"/>
      </w:numPr>
      <w:spacing w:before="0" w:beforeLines="0" w:after="0" w:afterLines="0"/>
      <w:outlineLvl w:val="9"/>
    </w:pPr>
    <w:rPr>
      <w:rFonts w:ascii="宋体" w:eastAsia="宋体"/>
      <w:sz w:val="18"/>
      <w:szCs w:val="18"/>
    </w:rPr>
  </w:style>
  <w:style w:type="paragraph" w:customStyle="1" w:styleId="146">
    <w:name w:val="附录图标号"/>
    <w:basedOn w:val="1"/>
    <w:autoRedefine/>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47">
    <w:name w:val="示例"/>
    <w:next w:val="123"/>
    <w:autoRedefine/>
    <w:qFormat/>
    <w:uiPriority w:val="0"/>
    <w:pPr>
      <w:widowControl w:val="0"/>
      <w:numPr>
        <w:ilvl w:val="0"/>
        <w:numId w:val="15"/>
      </w:numPr>
      <w:jc w:val="both"/>
    </w:pPr>
    <w:rPr>
      <w:rFonts w:ascii="宋体" w:hAnsi="Times New Roman" w:eastAsia="宋体" w:cs="Times New Roman"/>
      <w:sz w:val="18"/>
      <w:szCs w:val="18"/>
      <w:lang w:val="en-US" w:eastAsia="zh-CN" w:bidi="ar-SA"/>
    </w:rPr>
  </w:style>
  <w:style w:type="paragraph" w:customStyle="1" w:styleId="148">
    <w:name w:val="图表脚注说明"/>
    <w:basedOn w:val="1"/>
    <w:autoRedefine/>
    <w:qFormat/>
    <w:uiPriority w:val="0"/>
    <w:pPr>
      <w:numPr>
        <w:ilvl w:val="0"/>
        <w:numId w:val="16"/>
      </w:numPr>
    </w:pPr>
    <w:rPr>
      <w:rFonts w:ascii="宋体"/>
      <w:sz w:val="18"/>
      <w:szCs w:val="18"/>
    </w:rPr>
  </w:style>
  <w:style w:type="paragraph" w:customStyle="1" w:styleId="149">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50">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51">
    <w:name w:val="正文表标题"/>
    <w:next w:val="28"/>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52">
    <w:name w:val="四级无"/>
    <w:basedOn w:val="88"/>
    <w:qFormat/>
    <w:uiPriority w:val="0"/>
    <w:pPr>
      <w:spacing w:before="0" w:beforeLines="0" w:after="0" w:afterLines="0"/>
    </w:pPr>
    <w:rPr>
      <w:rFonts w:ascii="宋体" w:eastAsia="宋体"/>
    </w:rPr>
  </w:style>
  <w:style w:type="paragraph" w:customStyle="1" w:styleId="153">
    <w:name w:val="封面一致性程度标识2"/>
    <w:basedOn w:val="76"/>
    <w:qFormat/>
    <w:uiPriority w:val="0"/>
    <w:pPr>
      <w:framePr w:wrap="around" w:y="4469"/>
    </w:pPr>
  </w:style>
  <w:style w:type="paragraph" w:customStyle="1" w:styleId="154">
    <w:name w:val="编号列项（三级）"/>
    <w:qFormat/>
    <w:uiPriority w:val="0"/>
    <w:rPr>
      <w:rFonts w:ascii="宋体" w:hAnsi="Times New Roman" w:eastAsia="宋体" w:cs="Times New Roman"/>
      <w:sz w:val="21"/>
      <w:lang w:val="en-US" w:eastAsia="zh-CN" w:bidi="ar-SA"/>
    </w:rPr>
  </w:style>
  <w:style w:type="paragraph" w:customStyle="1" w:styleId="155">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56">
    <w:name w:val="一级无"/>
    <w:basedOn w:val="61"/>
    <w:qFormat/>
    <w:uiPriority w:val="0"/>
    <w:pPr>
      <w:spacing w:before="0" w:beforeLines="0" w:after="0" w:afterLines="0"/>
    </w:pPr>
    <w:rPr>
      <w:rFonts w:ascii="宋体" w:eastAsia="宋体"/>
    </w:rPr>
  </w:style>
  <w:style w:type="paragraph" w:customStyle="1" w:styleId="157">
    <w:name w:val="三级无"/>
    <w:basedOn w:val="89"/>
    <w:qFormat/>
    <w:uiPriority w:val="0"/>
    <w:pPr>
      <w:spacing w:before="0" w:beforeLines="0" w:after="0" w:afterLines="0"/>
    </w:pPr>
    <w:rPr>
      <w:rFonts w:ascii="宋体" w:eastAsia="宋体"/>
    </w:rPr>
  </w:style>
  <w:style w:type="paragraph" w:customStyle="1" w:styleId="158">
    <w:name w:val="列项◆（三级）"/>
    <w:basedOn w:val="1"/>
    <w:qFormat/>
    <w:uiPriority w:val="0"/>
    <w:pPr>
      <w:numPr>
        <w:ilvl w:val="2"/>
        <w:numId w:val="9"/>
      </w:numPr>
    </w:pPr>
    <w:rPr>
      <w:rFonts w:ascii="宋体"/>
      <w:szCs w:val="21"/>
    </w:rPr>
  </w:style>
  <w:style w:type="paragraph" w:customStyle="1" w:styleId="159">
    <w:name w:val="封面标准名称2"/>
    <w:basedOn w:val="78"/>
    <w:qFormat/>
    <w:uiPriority w:val="0"/>
    <w:pPr>
      <w:framePr w:wrap="around" w:y="4469"/>
      <w:spacing w:before="630" w:beforeLines="630"/>
    </w:pPr>
  </w:style>
  <w:style w:type="table" w:customStyle="1" w:styleId="160">
    <w:name w:val="TableGrid"/>
    <w:basedOn w:val="39"/>
    <w:qFormat/>
    <w:uiPriority w:val="0"/>
    <w:rPr>
      <w:rFonts w:eastAsia="Times New Roman"/>
    </w:rPr>
    <w:tblPr>
      <w:tblCellMar>
        <w:left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5049</Words>
  <Characters>6724</Characters>
  <Lines>64</Lines>
  <Paragraphs>18</Paragraphs>
  <TotalTime>2</TotalTime>
  <ScaleCrop>false</ScaleCrop>
  <LinksUpToDate>false</LinksUpToDate>
  <CharactersWithSpaces>6971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2023-06-02T08:05:00Z</dcterms:created>
  <dc:creator>CNIS</dc:creator>
  <cp:lastModifiedBy>三三</cp:lastModifiedBy>
  <cp:lastPrinted>2023-09-25T05:53:00Z</cp:lastPrinted>
  <dcterms:modified xsi:type="dcterms:W3CDTF">2024-07-25T07:58:28Z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1A533D78E554471FB945F91A42F7B7AB_13</vt:lpwstr>
  </property>
</Properties>
</file>