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12929">
      <w:pPr>
        <w:spacing w:line="540" w:lineRule="exact"/>
        <w:jc w:val="center"/>
        <w:rPr>
          <w:rFonts w:hint="eastAsia" w:ascii="仿宋" w:hAnsi="仿宋" w:eastAsia="仿宋" w:cs="仿宋"/>
          <w:b/>
          <w:bCs/>
          <w:color w:val="auto"/>
          <w:sz w:val="36"/>
          <w:szCs w:val="36"/>
          <w:lang w:val="en-US" w:eastAsia="zh-CN"/>
        </w:rPr>
      </w:pPr>
      <w:r>
        <w:rPr>
          <w:rFonts w:hint="eastAsia" w:ascii="仿宋" w:hAnsi="仿宋" w:eastAsia="仿宋" w:cs="仿宋"/>
          <w:b/>
          <w:bCs/>
          <w:color w:val="auto"/>
          <w:sz w:val="36"/>
          <w:szCs w:val="36"/>
          <w:lang w:eastAsia="zh-CN"/>
        </w:rPr>
        <w:t>东凤镇海伦湾小区外围部分区域智慧停车场合作建设运营项目</w:t>
      </w:r>
      <w:r>
        <w:rPr>
          <w:rFonts w:hint="eastAsia" w:ascii="仿宋" w:hAnsi="仿宋" w:eastAsia="仿宋" w:cs="仿宋"/>
          <w:b/>
          <w:bCs/>
          <w:color w:val="auto"/>
          <w:sz w:val="36"/>
          <w:szCs w:val="36"/>
        </w:rPr>
        <w:t>招</w:t>
      </w:r>
      <w:r>
        <w:rPr>
          <w:rFonts w:hint="eastAsia" w:ascii="仿宋" w:hAnsi="仿宋" w:eastAsia="仿宋" w:cs="仿宋"/>
          <w:b/>
          <w:bCs/>
          <w:color w:val="auto"/>
          <w:sz w:val="36"/>
          <w:szCs w:val="36"/>
          <w:lang w:eastAsia="zh-CN"/>
        </w:rPr>
        <w:t>租</w:t>
      </w:r>
      <w:r>
        <w:rPr>
          <w:rFonts w:hint="eastAsia" w:ascii="仿宋" w:hAnsi="仿宋" w:eastAsia="仿宋" w:cs="仿宋"/>
          <w:b/>
          <w:bCs/>
          <w:color w:val="auto"/>
          <w:sz w:val="36"/>
          <w:szCs w:val="36"/>
        </w:rPr>
        <w:t>方案</w:t>
      </w:r>
      <w:r>
        <w:rPr>
          <w:rFonts w:hint="eastAsia" w:ascii="仿宋" w:hAnsi="仿宋" w:eastAsia="仿宋" w:cs="仿宋"/>
          <w:b/>
          <w:bCs/>
          <w:color w:val="auto"/>
          <w:sz w:val="36"/>
          <w:szCs w:val="36"/>
          <w:lang w:eastAsia="zh-CN"/>
        </w:rPr>
        <w:t>（第四次）</w:t>
      </w:r>
    </w:p>
    <w:p w14:paraId="60D71B5C">
      <w:pPr>
        <w:spacing w:line="600" w:lineRule="exact"/>
        <w:ind w:firstLine="560" w:firstLineChars="200"/>
        <w:rPr>
          <w:rFonts w:ascii="仿宋_GB2312" w:hAnsi="仿宋_GB2312" w:eastAsia="仿宋_GB2312" w:cs="仿宋_GB2312"/>
          <w:color w:val="auto"/>
          <w:sz w:val="28"/>
          <w:szCs w:val="28"/>
        </w:rPr>
      </w:pPr>
    </w:p>
    <w:p w14:paraId="682AEBFE">
      <w:pPr>
        <w:spacing w:line="240" w:lineRule="auto"/>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东海社区受托对</w:t>
      </w:r>
      <w:r>
        <w:rPr>
          <w:rFonts w:hint="eastAsia" w:ascii="仿宋_GB2312" w:hAnsi="仿宋_GB2312" w:eastAsia="仿宋_GB2312" w:cs="仿宋_GB2312"/>
          <w:color w:val="auto"/>
          <w:sz w:val="28"/>
          <w:szCs w:val="28"/>
          <w:lang w:val="en-US" w:eastAsia="zh-CN"/>
        </w:rPr>
        <w:t>海伦湾小区外围部分区域进行管理，</w:t>
      </w:r>
      <w:r>
        <w:rPr>
          <w:rFonts w:hint="eastAsia" w:ascii="仿宋_GB2312" w:hAnsi="仿宋_GB2312" w:eastAsia="仿宋_GB2312" w:cs="仿宋_GB2312"/>
          <w:color w:val="auto"/>
          <w:sz w:val="28"/>
          <w:szCs w:val="28"/>
        </w:rPr>
        <w:t>现面</w:t>
      </w:r>
      <w:r>
        <w:rPr>
          <w:rFonts w:hint="eastAsia" w:ascii="仿宋_GB2312" w:hAnsi="仿宋_GB2312" w:eastAsia="仿宋_GB2312" w:cs="仿宋_GB2312"/>
          <w:color w:val="auto"/>
          <w:sz w:val="28"/>
          <w:szCs w:val="28"/>
          <w:lang w:eastAsia="zh-CN"/>
        </w:rPr>
        <w:t>向</w:t>
      </w:r>
      <w:r>
        <w:rPr>
          <w:rFonts w:hint="eastAsia" w:ascii="仿宋_GB2312" w:hAnsi="仿宋_GB2312" w:eastAsia="仿宋_GB2312" w:cs="仿宋_GB2312"/>
          <w:color w:val="auto"/>
          <w:sz w:val="28"/>
          <w:szCs w:val="28"/>
        </w:rPr>
        <w:t>社会进行公开</w:t>
      </w:r>
      <w:r>
        <w:rPr>
          <w:rFonts w:hint="eastAsia" w:ascii="仿宋_GB2312" w:hAnsi="仿宋_GB2312" w:eastAsia="仿宋_GB2312" w:cs="仿宋_GB2312"/>
          <w:color w:val="auto"/>
          <w:sz w:val="28"/>
          <w:szCs w:val="28"/>
          <w:lang w:val="en-US" w:eastAsia="zh-CN"/>
        </w:rPr>
        <w:t>招商合作建设运营</w:t>
      </w:r>
      <w:r>
        <w:rPr>
          <w:rFonts w:hint="eastAsia" w:ascii="仿宋_GB2312" w:hAnsi="仿宋_GB2312" w:eastAsia="仿宋_GB2312" w:cs="仿宋_GB2312"/>
          <w:color w:val="auto"/>
          <w:sz w:val="28"/>
          <w:szCs w:val="28"/>
        </w:rPr>
        <w:t>。</w:t>
      </w:r>
    </w:p>
    <w:p w14:paraId="44DADA6F">
      <w:pPr>
        <w:spacing w:line="240" w:lineRule="auto"/>
        <w:ind w:firstLine="562" w:firstLineChars="200"/>
        <w:rPr>
          <w:rFonts w:hint="eastAsia" w:ascii="黑体" w:hAnsi="黑体" w:eastAsia="黑体" w:cs="黑体"/>
          <w:b/>
          <w:bCs/>
          <w:color w:val="auto"/>
          <w:sz w:val="28"/>
          <w:szCs w:val="28"/>
        </w:rPr>
      </w:pPr>
      <w:r>
        <w:rPr>
          <w:rFonts w:hint="eastAsia" w:ascii="黑体" w:hAnsi="黑体" w:eastAsia="黑体" w:cs="黑体"/>
          <w:b/>
          <w:bCs/>
          <w:color w:val="auto"/>
          <w:sz w:val="28"/>
          <w:szCs w:val="28"/>
        </w:rPr>
        <w:t>一、</w:t>
      </w:r>
      <w:r>
        <w:rPr>
          <w:rFonts w:hint="eastAsia" w:ascii="黑体" w:hAnsi="黑体" w:eastAsia="黑体" w:cs="黑体"/>
          <w:b/>
          <w:bCs/>
          <w:color w:val="auto"/>
          <w:sz w:val="28"/>
          <w:szCs w:val="28"/>
          <w:lang w:eastAsia="zh-CN"/>
        </w:rPr>
        <w:t>项目</w:t>
      </w:r>
      <w:r>
        <w:rPr>
          <w:rFonts w:hint="eastAsia" w:ascii="黑体" w:hAnsi="黑体" w:eastAsia="黑体" w:cs="黑体"/>
          <w:b/>
          <w:bCs/>
          <w:color w:val="auto"/>
          <w:sz w:val="28"/>
          <w:szCs w:val="28"/>
        </w:rPr>
        <w:t>基本情况</w:t>
      </w:r>
      <w:r>
        <w:rPr>
          <w:rFonts w:hint="eastAsia" w:ascii="黑体" w:hAnsi="黑体" w:eastAsia="黑体" w:cs="黑体"/>
          <w:b/>
          <w:bCs/>
          <w:color w:val="auto"/>
          <w:sz w:val="28"/>
          <w:szCs w:val="28"/>
          <w:lang w:eastAsia="zh-CN"/>
        </w:rPr>
        <w:t>及合作建设要求</w:t>
      </w:r>
      <w:r>
        <w:rPr>
          <w:rFonts w:hint="eastAsia" w:ascii="黑体" w:hAnsi="黑体" w:eastAsia="黑体" w:cs="黑体"/>
          <w:b/>
          <w:bCs/>
          <w:color w:val="auto"/>
          <w:sz w:val="28"/>
          <w:szCs w:val="28"/>
        </w:rPr>
        <w:t>：</w:t>
      </w:r>
    </w:p>
    <w:p w14:paraId="24B707A8">
      <w:pPr>
        <w:ind w:firstLine="562"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lang w:val="en-US" w:eastAsia="zh-CN"/>
        </w:rPr>
        <w:t>（一）</w:t>
      </w:r>
      <w:r>
        <w:rPr>
          <w:rFonts w:hint="eastAsia" w:ascii="仿宋_GB2312" w:hAnsi="仿宋_GB2312" w:eastAsia="仿宋_GB2312" w:cs="仿宋_GB2312"/>
          <w:b/>
          <w:bCs/>
          <w:color w:val="auto"/>
          <w:sz w:val="28"/>
          <w:szCs w:val="28"/>
          <w:highlight w:val="none"/>
          <w:lang w:eastAsia="zh-CN"/>
        </w:rPr>
        <w:t>海伦湾项目基本情况：</w:t>
      </w:r>
      <w:r>
        <w:rPr>
          <w:rFonts w:hint="eastAsia" w:ascii="仿宋_GB2312" w:hAnsi="仿宋_GB2312" w:eastAsia="仿宋_GB2312" w:cs="仿宋_GB2312"/>
          <w:color w:val="auto"/>
          <w:sz w:val="28"/>
          <w:szCs w:val="28"/>
          <w:lang w:val="en-US" w:eastAsia="zh-CN"/>
        </w:rPr>
        <w:t>该标的位于</w:t>
      </w:r>
      <w:r>
        <w:rPr>
          <w:rFonts w:hint="eastAsia" w:ascii="仿宋_GB2312" w:hAnsi="仿宋_GB2312" w:eastAsia="仿宋_GB2312" w:cs="仿宋_GB2312"/>
          <w:color w:val="auto"/>
          <w:sz w:val="28"/>
          <w:szCs w:val="28"/>
          <w:lang w:eastAsia="zh-CN"/>
        </w:rPr>
        <w:t>东凤镇东堤路</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lang w:eastAsia="zh-CN"/>
        </w:rPr>
        <w:t>8号外，</w:t>
      </w:r>
      <w:r>
        <w:rPr>
          <w:rFonts w:hint="eastAsia" w:ascii="仿宋_GB2312" w:hAnsi="仿宋_GB2312" w:eastAsia="仿宋_GB2312" w:cs="仿宋_GB2312"/>
          <w:color w:val="auto"/>
          <w:sz w:val="28"/>
          <w:szCs w:val="28"/>
          <w:lang w:val="en-US" w:eastAsia="zh-CN"/>
        </w:rPr>
        <w:t>从沙口大桥底起至凤巢湾项目用地的</w:t>
      </w:r>
      <w:r>
        <w:rPr>
          <w:rFonts w:hint="eastAsia" w:ascii="仿宋_GB2312" w:hAnsi="仿宋_GB2312" w:eastAsia="仿宋_GB2312" w:cs="仿宋_GB2312"/>
          <w:color w:val="auto"/>
          <w:sz w:val="28"/>
          <w:szCs w:val="28"/>
          <w:lang w:eastAsia="zh-CN"/>
        </w:rPr>
        <w:t>市政路（海旁公园大堤侧）约</w:t>
      </w:r>
      <w:r>
        <w:rPr>
          <w:rFonts w:hint="eastAsia" w:ascii="仿宋_GB2312" w:hAnsi="仿宋_GB2312" w:eastAsia="仿宋_GB2312" w:cs="仿宋_GB2312"/>
          <w:color w:val="auto"/>
          <w:sz w:val="28"/>
          <w:szCs w:val="28"/>
          <w:lang w:val="en-US" w:eastAsia="zh-CN"/>
        </w:rPr>
        <w:t>149个停车位（以实际可用为准）。根据百度地图测距，项目用地（单边）长约680米，宽约6米</w:t>
      </w:r>
      <w:r>
        <w:rPr>
          <w:rFonts w:hint="eastAsia" w:ascii="仿宋_GB2312" w:hAnsi="仿宋_GB2312" w:eastAsia="仿宋_GB2312" w:cs="仿宋_GB2312"/>
          <w:color w:val="auto"/>
          <w:sz w:val="28"/>
          <w:szCs w:val="28"/>
          <w:highlight w:val="none"/>
          <w:lang w:val="en-US" w:eastAsia="zh-CN"/>
        </w:rPr>
        <w:t>。</w:t>
      </w:r>
    </w:p>
    <w:p w14:paraId="75BE5499">
      <w:pPr>
        <w:ind w:firstLine="562"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合作建设要求：</w:t>
      </w:r>
    </w:p>
    <w:p w14:paraId="5B4AF65C">
      <w:pPr>
        <w:spacing w:line="240" w:lineRule="auto"/>
        <w:ind w:firstLine="560" w:firstLineChars="200"/>
        <w:rPr>
          <w:rFonts w:hint="eastAsia" w:ascii="仿宋_GB2312" w:hAnsi="仿宋_GB2312" w:eastAsia="仿宋"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建设要求</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lang w:eastAsia="zh-CN"/>
        </w:rPr>
        <w:t>成功招商签订合同后立即开始建设，合作方承担所有</w:t>
      </w:r>
      <w:r>
        <w:rPr>
          <w:rFonts w:hint="eastAsia" w:ascii="仿宋_GB2312" w:hAnsi="仿宋_GB2312" w:eastAsia="仿宋_GB2312" w:cs="仿宋_GB2312"/>
          <w:color w:val="auto"/>
          <w:sz w:val="28"/>
          <w:szCs w:val="28"/>
          <w:highlight w:val="none"/>
          <w:lang w:eastAsia="zh-CN"/>
        </w:rPr>
        <w:t>建设费用。</w:t>
      </w:r>
      <w:r>
        <w:rPr>
          <w:rFonts w:hint="eastAsia" w:ascii="仿宋" w:hAnsi="仿宋" w:eastAsia="仿宋" w:cs="仿宋"/>
          <w:color w:val="auto"/>
          <w:sz w:val="28"/>
          <w:szCs w:val="28"/>
          <w:highlight w:val="none"/>
          <w:lang w:val="en-US" w:eastAsia="zh-CN"/>
        </w:rPr>
        <w:t>由于该区域有市政道路横穿，不适宜设置道闸进行围蔽管理，须采用智能地锁或人员现场值守管理，并且需要对车位编号、加建监控设备、加装收费公示牌，配备消防、安全生产器材等；同时，要做好停车区域环境卫生保洁、场地设施维护，涉停车位问题投诉等</w:t>
      </w:r>
      <w:r>
        <w:rPr>
          <w:rFonts w:hint="eastAsia" w:ascii="仿宋_GB2312" w:hAnsi="仿宋_GB2312" w:eastAsia="仿宋_GB2312" w:cs="仿宋_GB2312"/>
          <w:color w:val="auto"/>
          <w:sz w:val="28"/>
          <w:szCs w:val="28"/>
          <w:highlight w:val="none"/>
          <w:lang w:eastAsia="zh-CN"/>
        </w:rPr>
        <w:t>。</w:t>
      </w:r>
    </w:p>
    <w:p w14:paraId="5F64A466">
      <w:pPr>
        <w:spacing w:line="24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其他要求：</w:t>
      </w:r>
      <w:r>
        <w:rPr>
          <w:rFonts w:hint="eastAsia" w:ascii="仿宋_GB2312" w:hAnsi="仿宋_GB2312" w:eastAsia="仿宋_GB2312" w:cs="仿宋_GB2312"/>
          <w:color w:val="auto"/>
          <w:sz w:val="28"/>
          <w:szCs w:val="28"/>
          <w:highlight w:val="none"/>
          <w:lang w:eastAsia="zh-CN"/>
        </w:rPr>
        <w:t>签订合同后，承租方对海旁公园路面、护栏、照明、座椅等破损修复，绿化缺失补种、垃圾桶增设并在合同期间内全面加强海旁公园的管理维护，切实提升整个海旁公园档次。</w:t>
      </w:r>
      <w:r>
        <w:rPr>
          <w:rFonts w:hint="eastAsia" w:ascii="仿宋" w:hAnsi="仿宋" w:eastAsia="仿宋" w:cs="仿宋"/>
          <w:color w:val="auto"/>
          <w:sz w:val="28"/>
          <w:szCs w:val="28"/>
          <w:highlight w:val="none"/>
          <w:lang w:val="en-US" w:eastAsia="zh-CN"/>
        </w:rPr>
        <w:t>承租期内，承租方须对海伦湾外整个海旁公园、小区与海旁公园之间的市政道路及所运营车位的环境卫生保洁、绿化、公共秩序和设施设备等进行常态化管养维护。</w:t>
      </w:r>
    </w:p>
    <w:p w14:paraId="309284A3">
      <w:pPr>
        <w:spacing w:line="24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3、合作期限：15年。</w:t>
      </w:r>
    </w:p>
    <w:p w14:paraId="5C2AF795">
      <w:pPr>
        <w:widowControl/>
        <w:shd w:val="clear" w:color="auto" w:fill="auto"/>
        <w:spacing w:line="240" w:lineRule="auto"/>
        <w:ind w:firstLine="560" w:firstLineChars="200"/>
        <w:jc w:val="left"/>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合作租金底价：15000元/月</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color w:val="auto"/>
          <w:sz w:val="28"/>
          <w:szCs w:val="28"/>
          <w:highlight w:val="none"/>
        </w:rPr>
        <w:t>非税</w:t>
      </w:r>
      <w:r>
        <w:rPr>
          <w:rFonts w:hint="eastAsia" w:ascii="仿宋" w:hAnsi="仿宋" w:eastAsia="仿宋" w:cs="仿宋"/>
          <w:color w:val="auto"/>
          <w:sz w:val="28"/>
          <w:szCs w:val="28"/>
          <w:highlight w:val="none"/>
          <w:lang w:eastAsia="zh-CN"/>
        </w:rPr>
        <w:t>项目</w:t>
      </w:r>
      <w:r>
        <w:rPr>
          <w:rFonts w:hint="eastAsia" w:ascii="仿宋" w:hAnsi="仿宋" w:eastAsia="仿宋" w:cs="仿宋"/>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，每三年为一期，每期递增10%（第一期按投标底价计租）。其中，出租方将月租金的30%作为上述第2点的设施维护和日常管养费，委托承租方直接拨付给第三方管养单位，并签订三方协议监管；</w:t>
      </w:r>
      <w:r>
        <w:rPr>
          <w:rFonts w:hint="eastAsia" w:ascii="仿宋_GB2312" w:hAnsi="仿宋_GB2312" w:eastAsia="仿宋_GB2312" w:cs="仿宋_GB2312"/>
          <w:b/>
          <w:bCs/>
          <w:color w:val="auto"/>
          <w:sz w:val="28"/>
          <w:szCs w:val="28"/>
          <w:highlight w:val="none"/>
          <w:lang w:val="en-US" w:eastAsia="zh-CN"/>
        </w:rPr>
        <w:t>即承租方只须按中标价分别向出租方、第三方管养单位按70%、30%的比例支付项目租金和管养费（均为非税项目），</w:t>
      </w:r>
      <w:r>
        <w:rPr>
          <w:rFonts w:hint="eastAsia" w:ascii="仿宋_GB2312" w:hAnsi="仿宋_GB2312" w:eastAsia="仿宋_GB2312" w:cs="仿宋_GB2312"/>
          <w:color w:val="auto"/>
          <w:sz w:val="28"/>
          <w:szCs w:val="28"/>
          <w:highlight w:val="none"/>
          <w:lang w:val="en-US" w:eastAsia="zh-CN"/>
        </w:rPr>
        <w:t>即第一期甲方收取10500元/月，丙方收取4500元/月，后期如此类推。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0"/>
        <w:gridCol w:w="3713"/>
        <w:gridCol w:w="1285"/>
        <w:gridCol w:w="1285"/>
        <w:gridCol w:w="1285"/>
      </w:tblGrid>
      <w:tr w14:paraId="0FCC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80" w:type="dxa"/>
            <w:vMerge w:val="restart"/>
            <w:vAlign w:val="center"/>
          </w:tcPr>
          <w:p w14:paraId="07F1A43B">
            <w:pPr>
              <w:widowControl/>
              <w:spacing w:line="360" w:lineRule="auto"/>
              <w:jc w:val="center"/>
              <w:rPr>
                <w:rFonts w:hint="eastAsia" w:ascii="仿宋" w:hAnsi="仿宋" w:eastAsia="仿宋" w:cs="仿宋"/>
                <w:b/>
                <w:bCs/>
                <w:color w:val="auto"/>
                <w:kern w:val="0"/>
                <w:sz w:val="21"/>
                <w:szCs w:val="21"/>
                <w:highlight w:val="none"/>
                <w:vertAlign w:val="baseline"/>
                <w:lang w:eastAsia="zh-CN"/>
              </w:rPr>
            </w:pPr>
            <w:r>
              <w:rPr>
                <w:rFonts w:hint="eastAsia" w:ascii="仿宋" w:hAnsi="仿宋" w:eastAsia="仿宋" w:cs="仿宋"/>
                <w:b/>
                <w:bCs/>
                <w:color w:val="auto"/>
                <w:kern w:val="0"/>
                <w:sz w:val="21"/>
                <w:szCs w:val="21"/>
                <w:highlight w:val="none"/>
                <w:vertAlign w:val="baseline"/>
                <w:lang w:eastAsia="zh-CN"/>
              </w:rPr>
              <w:t>期数</w:t>
            </w:r>
          </w:p>
        </w:tc>
        <w:tc>
          <w:tcPr>
            <w:tcW w:w="3713" w:type="dxa"/>
            <w:vMerge w:val="restart"/>
            <w:vAlign w:val="center"/>
          </w:tcPr>
          <w:p w14:paraId="2179BDBF">
            <w:pPr>
              <w:widowControl/>
              <w:spacing w:line="360" w:lineRule="auto"/>
              <w:jc w:val="center"/>
              <w:rPr>
                <w:rFonts w:hint="eastAsia" w:ascii="仿宋" w:hAnsi="仿宋" w:eastAsia="仿宋" w:cs="仿宋"/>
                <w:b/>
                <w:bCs/>
                <w:color w:val="auto"/>
                <w:kern w:val="0"/>
                <w:sz w:val="21"/>
                <w:szCs w:val="21"/>
                <w:highlight w:val="none"/>
                <w:vertAlign w:val="baseline"/>
                <w:lang w:eastAsia="zh-CN"/>
              </w:rPr>
            </w:pPr>
            <w:r>
              <w:rPr>
                <w:rFonts w:hint="eastAsia" w:ascii="仿宋" w:hAnsi="仿宋" w:eastAsia="仿宋" w:cs="仿宋"/>
                <w:b/>
                <w:bCs/>
                <w:color w:val="auto"/>
                <w:kern w:val="0"/>
                <w:sz w:val="21"/>
                <w:szCs w:val="21"/>
                <w:highlight w:val="none"/>
                <w:vertAlign w:val="baseline"/>
                <w:lang w:eastAsia="zh-CN"/>
              </w:rPr>
              <w:t>时间</w:t>
            </w:r>
          </w:p>
        </w:tc>
        <w:tc>
          <w:tcPr>
            <w:tcW w:w="3855" w:type="dxa"/>
            <w:gridSpan w:val="3"/>
          </w:tcPr>
          <w:p w14:paraId="0C224CB6">
            <w:pPr>
              <w:widowControl/>
              <w:spacing w:line="360" w:lineRule="auto"/>
              <w:jc w:val="center"/>
              <w:rPr>
                <w:rFonts w:hint="eastAsia" w:ascii="仿宋" w:hAnsi="仿宋" w:eastAsia="仿宋" w:cs="仿宋"/>
                <w:b/>
                <w:bCs/>
                <w:color w:val="auto"/>
                <w:kern w:val="0"/>
                <w:sz w:val="21"/>
                <w:szCs w:val="21"/>
                <w:highlight w:val="none"/>
                <w:vertAlign w:val="baseline"/>
                <w:lang w:eastAsia="zh-CN"/>
              </w:rPr>
            </w:pPr>
            <w:r>
              <w:rPr>
                <w:rFonts w:hint="eastAsia" w:ascii="仿宋" w:hAnsi="仿宋" w:eastAsia="仿宋" w:cs="仿宋"/>
                <w:b/>
                <w:bCs/>
                <w:color w:val="auto"/>
                <w:kern w:val="0"/>
                <w:sz w:val="21"/>
                <w:szCs w:val="21"/>
                <w:highlight w:val="none"/>
                <w:vertAlign w:val="baseline"/>
                <w:lang w:eastAsia="zh-CN"/>
              </w:rPr>
              <w:t>租金明细</w:t>
            </w:r>
            <w:r>
              <w:rPr>
                <w:rFonts w:hint="eastAsia" w:ascii="仿宋" w:hAnsi="仿宋" w:eastAsia="仿宋" w:cs="仿宋"/>
                <w:b w:val="0"/>
                <w:bCs w:val="0"/>
                <w:color w:val="auto"/>
                <w:kern w:val="0"/>
                <w:sz w:val="21"/>
                <w:szCs w:val="21"/>
                <w:highlight w:val="none"/>
                <w:vertAlign w:val="baseline"/>
                <w:lang w:eastAsia="zh-CN"/>
              </w:rPr>
              <w:t>（单位：</w:t>
            </w:r>
            <w:r>
              <w:rPr>
                <w:rFonts w:hint="eastAsia" w:ascii="仿宋" w:hAnsi="仿宋" w:eastAsia="仿宋" w:cs="仿宋"/>
                <w:b w:val="0"/>
                <w:bCs w:val="0"/>
                <w:color w:val="auto"/>
                <w:sz w:val="21"/>
                <w:szCs w:val="21"/>
                <w:highlight w:val="none"/>
                <w:lang w:val="en-US" w:eastAsia="zh-CN"/>
              </w:rPr>
              <w:t>元/月）</w:t>
            </w:r>
          </w:p>
        </w:tc>
      </w:tr>
      <w:tr w14:paraId="53E8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80" w:type="dxa"/>
            <w:vMerge w:val="continue"/>
          </w:tcPr>
          <w:p w14:paraId="48515C66">
            <w:pPr>
              <w:widowControl/>
              <w:spacing w:line="360" w:lineRule="auto"/>
              <w:jc w:val="center"/>
              <w:rPr>
                <w:color w:val="auto"/>
              </w:rPr>
            </w:pPr>
          </w:p>
        </w:tc>
        <w:tc>
          <w:tcPr>
            <w:tcW w:w="3713" w:type="dxa"/>
            <w:vMerge w:val="continue"/>
          </w:tcPr>
          <w:p w14:paraId="563E405C">
            <w:pPr>
              <w:widowControl/>
              <w:spacing w:line="360" w:lineRule="auto"/>
              <w:jc w:val="center"/>
              <w:rPr>
                <w:color w:val="auto"/>
              </w:rPr>
            </w:pPr>
          </w:p>
        </w:tc>
        <w:tc>
          <w:tcPr>
            <w:tcW w:w="1285" w:type="dxa"/>
          </w:tcPr>
          <w:p w14:paraId="261797F8">
            <w:pPr>
              <w:widowControl/>
              <w:spacing w:line="360" w:lineRule="auto"/>
              <w:jc w:val="center"/>
              <w:rPr>
                <w:rFonts w:hint="eastAsia" w:ascii="仿宋" w:hAnsi="仿宋" w:eastAsia="仿宋" w:cs="仿宋"/>
                <w:b/>
                <w:bCs/>
                <w:color w:val="auto"/>
                <w:kern w:val="0"/>
                <w:sz w:val="21"/>
                <w:szCs w:val="21"/>
                <w:highlight w:val="none"/>
                <w:vertAlign w:val="baseline"/>
                <w:lang w:eastAsia="zh-CN"/>
              </w:rPr>
            </w:pPr>
            <w:r>
              <w:rPr>
                <w:rFonts w:hint="eastAsia" w:ascii="仿宋" w:hAnsi="仿宋" w:eastAsia="仿宋" w:cs="仿宋"/>
                <w:b/>
                <w:bCs/>
                <w:color w:val="auto"/>
                <w:kern w:val="0"/>
                <w:sz w:val="21"/>
                <w:szCs w:val="21"/>
                <w:highlight w:val="none"/>
                <w:vertAlign w:val="baseline"/>
                <w:lang w:eastAsia="zh-CN"/>
              </w:rPr>
              <w:t>甲方</w:t>
            </w:r>
          </w:p>
        </w:tc>
        <w:tc>
          <w:tcPr>
            <w:tcW w:w="1285" w:type="dxa"/>
          </w:tcPr>
          <w:p w14:paraId="395B9C2E">
            <w:pPr>
              <w:widowControl/>
              <w:spacing w:line="360" w:lineRule="auto"/>
              <w:jc w:val="center"/>
              <w:rPr>
                <w:rFonts w:hint="eastAsia" w:ascii="仿宋" w:hAnsi="仿宋" w:eastAsia="仿宋" w:cs="仿宋"/>
                <w:b/>
                <w:bCs/>
                <w:color w:val="auto"/>
                <w:kern w:val="0"/>
                <w:sz w:val="21"/>
                <w:szCs w:val="21"/>
                <w:highlight w:val="none"/>
                <w:vertAlign w:val="baseline"/>
                <w:lang w:eastAsia="zh-CN"/>
              </w:rPr>
            </w:pPr>
            <w:r>
              <w:rPr>
                <w:rFonts w:hint="eastAsia" w:ascii="仿宋" w:hAnsi="仿宋" w:eastAsia="仿宋" w:cs="仿宋"/>
                <w:b/>
                <w:bCs/>
                <w:color w:val="auto"/>
                <w:kern w:val="0"/>
                <w:sz w:val="21"/>
                <w:szCs w:val="21"/>
                <w:highlight w:val="none"/>
                <w:vertAlign w:val="baseline"/>
                <w:lang w:eastAsia="zh-CN"/>
              </w:rPr>
              <w:t>丙方</w:t>
            </w:r>
          </w:p>
        </w:tc>
        <w:tc>
          <w:tcPr>
            <w:tcW w:w="1285" w:type="dxa"/>
          </w:tcPr>
          <w:p w14:paraId="39AAF5DF">
            <w:pPr>
              <w:widowControl/>
              <w:spacing w:line="360" w:lineRule="auto"/>
              <w:jc w:val="center"/>
              <w:rPr>
                <w:rFonts w:hint="eastAsia" w:ascii="仿宋" w:hAnsi="仿宋" w:eastAsia="仿宋" w:cs="仿宋"/>
                <w:b/>
                <w:bCs/>
                <w:color w:val="auto"/>
                <w:kern w:val="0"/>
                <w:sz w:val="21"/>
                <w:szCs w:val="21"/>
                <w:highlight w:val="none"/>
                <w:vertAlign w:val="baseline"/>
                <w:lang w:eastAsia="zh-CN"/>
              </w:rPr>
            </w:pPr>
            <w:r>
              <w:rPr>
                <w:rFonts w:hint="eastAsia" w:ascii="仿宋" w:hAnsi="仿宋" w:eastAsia="仿宋" w:cs="仿宋"/>
                <w:b/>
                <w:bCs/>
                <w:color w:val="auto"/>
                <w:kern w:val="0"/>
                <w:sz w:val="21"/>
                <w:szCs w:val="21"/>
                <w:highlight w:val="none"/>
                <w:vertAlign w:val="baseline"/>
                <w:lang w:eastAsia="zh-CN"/>
              </w:rPr>
              <w:t>合计</w:t>
            </w:r>
          </w:p>
        </w:tc>
      </w:tr>
      <w:tr w14:paraId="5B93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7DADC2FF">
            <w:pPr>
              <w:widowControl/>
              <w:spacing w:line="360" w:lineRule="auto"/>
              <w:jc w:val="center"/>
              <w:rPr>
                <w:rFonts w:hint="eastAsia" w:ascii="仿宋" w:hAnsi="仿宋" w:eastAsia="仿宋" w:cs="仿宋"/>
                <w:color w:val="auto"/>
                <w:kern w:val="0"/>
                <w:sz w:val="21"/>
                <w:szCs w:val="21"/>
                <w:highlight w:val="none"/>
                <w:vertAlign w:val="baseline"/>
                <w:lang w:eastAsia="zh-CN"/>
              </w:rPr>
            </w:pPr>
            <w:r>
              <w:rPr>
                <w:rFonts w:hint="eastAsia" w:ascii="仿宋" w:hAnsi="仿宋" w:eastAsia="仿宋" w:cs="仿宋"/>
                <w:color w:val="auto"/>
                <w:kern w:val="0"/>
                <w:sz w:val="21"/>
                <w:szCs w:val="21"/>
                <w:highlight w:val="none"/>
                <w:vertAlign w:val="baseline"/>
                <w:lang w:eastAsia="zh-CN"/>
              </w:rPr>
              <w:t>第一期</w:t>
            </w:r>
          </w:p>
        </w:tc>
        <w:tc>
          <w:tcPr>
            <w:tcW w:w="3713" w:type="dxa"/>
          </w:tcPr>
          <w:p w14:paraId="58646B52">
            <w:pPr>
              <w:widowControl/>
              <w:spacing w:line="360" w:lineRule="auto"/>
              <w:jc w:val="left"/>
              <w:rPr>
                <w:rFonts w:hint="default" w:ascii="仿宋" w:hAnsi="仿宋" w:eastAsia="仿宋" w:cs="仿宋"/>
                <w:color w:val="auto"/>
                <w:kern w:val="0"/>
                <w:sz w:val="21"/>
                <w:szCs w:val="21"/>
                <w:highlight w:val="none"/>
                <w:vertAlign w:val="baseline"/>
                <w:lang w:val="en-US" w:eastAsia="zh-CN"/>
              </w:rPr>
            </w:pPr>
            <w:r>
              <w:rPr>
                <w:rFonts w:hint="eastAsia" w:ascii="仿宋" w:hAnsi="仿宋" w:eastAsia="仿宋" w:cs="仿宋"/>
                <w:color w:val="auto"/>
                <w:kern w:val="0"/>
                <w:sz w:val="21"/>
                <w:szCs w:val="21"/>
                <w:highlight w:val="none"/>
                <w:vertAlign w:val="baseline"/>
                <w:lang w:val="en-US" w:eastAsia="zh-CN"/>
              </w:rPr>
              <w:t>2025年月日-2028年月日</w:t>
            </w:r>
          </w:p>
        </w:tc>
        <w:tc>
          <w:tcPr>
            <w:tcW w:w="1285" w:type="dxa"/>
          </w:tcPr>
          <w:p w14:paraId="3C76CA6B">
            <w:pPr>
              <w:widowControl/>
              <w:spacing w:line="360" w:lineRule="auto"/>
              <w:jc w:val="left"/>
              <w:rPr>
                <w:rFonts w:hint="default" w:ascii="仿宋" w:hAnsi="仿宋" w:eastAsia="仿宋" w:cs="仿宋"/>
                <w:color w:val="auto"/>
                <w:kern w:val="0"/>
                <w:sz w:val="21"/>
                <w:szCs w:val="21"/>
                <w:highlight w:val="none"/>
                <w:vertAlign w:val="baseline"/>
                <w:lang w:val="en-US" w:eastAsia="zh-CN"/>
              </w:rPr>
            </w:pPr>
            <w:r>
              <w:rPr>
                <w:rFonts w:hint="eastAsia" w:ascii="仿宋" w:hAnsi="仿宋" w:eastAsia="仿宋" w:cs="仿宋"/>
                <w:color w:val="auto"/>
                <w:kern w:val="0"/>
                <w:sz w:val="21"/>
                <w:szCs w:val="21"/>
                <w:highlight w:val="none"/>
                <w:lang w:val="en-US" w:eastAsia="zh-CN"/>
              </w:rPr>
              <w:t>10500</w:t>
            </w:r>
          </w:p>
        </w:tc>
        <w:tc>
          <w:tcPr>
            <w:tcW w:w="1285" w:type="dxa"/>
          </w:tcPr>
          <w:p w14:paraId="533DA1AA">
            <w:pPr>
              <w:widowControl/>
              <w:spacing w:line="360" w:lineRule="auto"/>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4500</w:t>
            </w:r>
          </w:p>
        </w:tc>
        <w:tc>
          <w:tcPr>
            <w:tcW w:w="1285" w:type="dxa"/>
          </w:tcPr>
          <w:p w14:paraId="4A7B6C43">
            <w:pPr>
              <w:widowControl/>
              <w:spacing w:line="360" w:lineRule="auto"/>
              <w:jc w:val="left"/>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15000</w:t>
            </w:r>
          </w:p>
        </w:tc>
      </w:tr>
      <w:tr w14:paraId="6F53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vAlign w:val="center"/>
          </w:tcPr>
          <w:p w14:paraId="4E0B0A0E">
            <w:pPr>
              <w:widowControl/>
              <w:spacing w:line="360" w:lineRule="auto"/>
              <w:jc w:val="center"/>
              <w:rPr>
                <w:rFonts w:hint="eastAsia" w:ascii="仿宋" w:hAnsi="仿宋" w:eastAsia="仿宋" w:cs="仿宋"/>
                <w:color w:val="auto"/>
                <w:kern w:val="0"/>
                <w:sz w:val="21"/>
                <w:szCs w:val="21"/>
                <w:highlight w:val="none"/>
                <w:vertAlign w:val="baseline"/>
                <w:lang w:eastAsia="zh-CN"/>
              </w:rPr>
            </w:pPr>
            <w:r>
              <w:rPr>
                <w:rFonts w:hint="eastAsia" w:ascii="仿宋" w:hAnsi="仿宋" w:eastAsia="仿宋" w:cs="仿宋"/>
                <w:color w:val="auto"/>
                <w:kern w:val="0"/>
                <w:sz w:val="21"/>
                <w:szCs w:val="21"/>
                <w:highlight w:val="none"/>
                <w:vertAlign w:val="baseline"/>
                <w:lang w:eastAsia="zh-CN"/>
              </w:rPr>
              <w:t>第二期</w:t>
            </w:r>
          </w:p>
        </w:tc>
        <w:tc>
          <w:tcPr>
            <w:tcW w:w="3713" w:type="dxa"/>
          </w:tcPr>
          <w:p w14:paraId="3CD3B629">
            <w:pPr>
              <w:widowControl/>
              <w:spacing w:line="360" w:lineRule="auto"/>
              <w:jc w:val="left"/>
              <w:rPr>
                <w:rFonts w:hint="eastAsia" w:ascii="仿宋" w:hAnsi="仿宋" w:eastAsia="仿宋" w:cs="仿宋"/>
                <w:color w:val="auto"/>
                <w:kern w:val="0"/>
                <w:sz w:val="21"/>
                <w:szCs w:val="21"/>
                <w:highlight w:val="none"/>
                <w:vertAlign w:val="baseline"/>
                <w:lang w:eastAsia="zh-CN"/>
              </w:rPr>
            </w:pPr>
          </w:p>
        </w:tc>
        <w:tc>
          <w:tcPr>
            <w:tcW w:w="1285" w:type="dxa"/>
          </w:tcPr>
          <w:p w14:paraId="4845E69C">
            <w:pPr>
              <w:widowControl/>
              <w:spacing w:line="360" w:lineRule="auto"/>
              <w:jc w:val="left"/>
              <w:rPr>
                <w:rFonts w:hint="default" w:ascii="仿宋" w:hAnsi="仿宋" w:eastAsia="仿宋" w:cs="仿宋"/>
                <w:color w:val="auto"/>
                <w:kern w:val="0"/>
                <w:sz w:val="21"/>
                <w:szCs w:val="21"/>
                <w:highlight w:val="none"/>
                <w:vertAlign w:val="baseline"/>
                <w:lang w:val="en-US" w:eastAsia="zh-CN"/>
              </w:rPr>
            </w:pPr>
            <w:r>
              <w:rPr>
                <w:rFonts w:hint="eastAsia" w:ascii="仿宋" w:hAnsi="仿宋" w:eastAsia="仿宋" w:cs="仿宋"/>
                <w:color w:val="auto"/>
                <w:kern w:val="0"/>
                <w:sz w:val="21"/>
                <w:szCs w:val="21"/>
                <w:highlight w:val="none"/>
                <w:vertAlign w:val="baseline"/>
                <w:lang w:val="en-US" w:eastAsia="zh-CN"/>
              </w:rPr>
              <w:t>11550</w:t>
            </w:r>
          </w:p>
        </w:tc>
        <w:tc>
          <w:tcPr>
            <w:tcW w:w="1285" w:type="dxa"/>
          </w:tcPr>
          <w:p w14:paraId="34F8BB22">
            <w:pPr>
              <w:widowControl/>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4950</w:t>
            </w:r>
          </w:p>
        </w:tc>
        <w:tc>
          <w:tcPr>
            <w:tcW w:w="1285" w:type="dxa"/>
          </w:tcPr>
          <w:p w14:paraId="49E5051F">
            <w:pPr>
              <w:widowControl/>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16500</w:t>
            </w:r>
          </w:p>
        </w:tc>
      </w:tr>
      <w:tr w14:paraId="2659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shd w:val="clear" w:color="auto" w:fill="auto"/>
            <w:vAlign w:val="center"/>
          </w:tcPr>
          <w:p w14:paraId="4B3AFDD2">
            <w:pPr>
              <w:widowControl/>
              <w:spacing w:line="360" w:lineRule="auto"/>
              <w:jc w:val="center"/>
              <w:rPr>
                <w:rFonts w:hint="eastAsia" w:ascii="仿宋" w:hAnsi="仿宋" w:eastAsia="仿宋" w:cs="仿宋"/>
                <w:color w:val="auto"/>
                <w:kern w:val="0"/>
                <w:sz w:val="21"/>
                <w:szCs w:val="21"/>
                <w:highlight w:val="none"/>
                <w:vertAlign w:val="baseline"/>
                <w:lang w:val="en-US" w:eastAsia="zh-CN" w:bidi="ar-SA"/>
              </w:rPr>
            </w:pPr>
            <w:r>
              <w:rPr>
                <w:rFonts w:hint="eastAsia" w:ascii="仿宋" w:hAnsi="仿宋" w:eastAsia="仿宋" w:cs="仿宋"/>
                <w:color w:val="auto"/>
                <w:kern w:val="0"/>
                <w:sz w:val="21"/>
                <w:szCs w:val="21"/>
                <w:highlight w:val="none"/>
                <w:vertAlign w:val="baseline"/>
                <w:lang w:eastAsia="zh-CN"/>
              </w:rPr>
              <w:t>第三期</w:t>
            </w:r>
          </w:p>
        </w:tc>
        <w:tc>
          <w:tcPr>
            <w:tcW w:w="3713" w:type="dxa"/>
            <w:shd w:val="clear" w:color="auto" w:fill="auto"/>
            <w:vAlign w:val="top"/>
          </w:tcPr>
          <w:p w14:paraId="19CB60F9">
            <w:pPr>
              <w:widowControl/>
              <w:spacing w:line="360" w:lineRule="auto"/>
              <w:jc w:val="left"/>
              <w:rPr>
                <w:rFonts w:hint="eastAsia" w:ascii="仿宋" w:hAnsi="仿宋" w:eastAsia="仿宋" w:cs="仿宋"/>
                <w:color w:val="auto"/>
                <w:kern w:val="0"/>
                <w:sz w:val="21"/>
                <w:szCs w:val="21"/>
                <w:highlight w:val="none"/>
                <w:vertAlign w:val="baseline"/>
                <w:lang w:val="en-US" w:eastAsia="zh-CN" w:bidi="ar-SA"/>
              </w:rPr>
            </w:pPr>
          </w:p>
        </w:tc>
        <w:tc>
          <w:tcPr>
            <w:tcW w:w="1285" w:type="dxa"/>
            <w:shd w:val="clear" w:color="auto" w:fill="auto"/>
            <w:vAlign w:val="top"/>
          </w:tcPr>
          <w:p w14:paraId="0495D1D2">
            <w:pPr>
              <w:widowControl/>
              <w:spacing w:line="360" w:lineRule="auto"/>
              <w:jc w:val="left"/>
              <w:rPr>
                <w:rFonts w:hint="default" w:ascii="仿宋" w:hAnsi="仿宋" w:eastAsia="仿宋" w:cs="仿宋"/>
                <w:color w:val="auto"/>
                <w:kern w:val="0"/>
                <w:sz w:val="21"/>
                <w:szCs w:val="21"/>
                <w:highlight w:val="none"/>
                <w:vertAlign w:val="baseline"/>
                <w:lang w:val="en-US" w:eastAsia="zh-CN" w:bidi="ar-SA"/>
              </w:rPr>
            </w:pPr>
            <w:r>
              <w:rPr>
                <w:rFonts w:hint="eastAsia" w:ascii="仿宋" w:hAnsi="仿宋" w:eastAsia="仿宋" w:cs="仿宋"/>
                <w:color w:val="auto"/>
                <w:kern w:val="0"/>
                <w:sz w:val="21"/>
                <w:szCs w:val="21"/>
                <w:highlight w:val="none"/>
                <w:vertAlign w:val="baseline"/>
                <w:lang w:val="en-US" w:eastAsia="zh-CN" w:bidi="ar-SA"/>
              </w:rPr>
              <w:t>12705</w:t>
            </w:r>
          </w:p>
        </w:tc>
        <w:tc>
          <w:tcPr>
            <w:tcW w:w="1285" w:type="dxa"/>
            <w:shd w:val="clear" w:color="auto" w:fill="auto"/>
            <w:vAlign w:val="top"/>
          </w:tcPr>
          <w:p w14:paraId="225DC456">
            <w:pPr>
              <w:widowControl/>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5445</w:t>
            </w:r>
          </w:p>
        </w:tc>
        <w:tc>
          <w:tcPr>
            <w:tcW w:w="1285" w:type="dxa"/>
            <w:shd w:val="clear" w:color="auto" w:fill="auto"/>
            <w:vAlign w:val="top"/>
          </w:tcPr>
          <w:p w14:paraId="7293C16A">
            <w:pPr>
              <w:widowControl/>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18150</w:t>
            </w:r>
          </w:p>
        </w:tc>
      </w:tr>
      <w:tr w14:paraId="494D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shd w:val="clear" w:color="auto" w:fill="auto"/>
            <w:vAlign w:val="center"/>
          </w:tcPr>
          <w:p w14:paraId="4ED90F54">
            <w:pPr>
              <w:widowControl/>
              <w:spacing w:line="360" w:lineRule="auto"/>
              <w:jc w:val="center"/>
              <w:rPr>
                <w:rFonts w:hint="eastAsia" w:ascii="仿宋" w:hAnsi="仿宋" w:eastAsia="仿宋" w:cs="仿宋"/>
                <w:color w:val="auto"/>
                <w:kern w:val="0"/>
                <w:sz w:val="21"/>
                <w:szCs w:val="21"/>
                <w:highlight w:val="none"/>
                <w:vertAlign w:val="baseline"/>
                <w:lang w:eastAsia="zh-CN"/>
              </w:rPr>
            </w:pPr>
            <w:r>
              <w:rPr>
                <w:rFonts w:hint="eastAsia" w:ascii="仿宋" w:hAnsi="仿宋" w:eastAsia="仿宋" w:cs="仿宋"/>
                <w:color w:val="auto"/>
                <w:kern w:val="0"/>
                <w:sz w:val="21"/>
                <w:szCs w:val="21"/>
                <w:highlight w:val="none"/>
                <w:vertAlign w:val="baseline"/>
                <w:lang w:eastAsia="zh-CN"/>
              </w:rPr>
              <w:t>第四期</w:t>
            </w:r>
          </w:p>
        </w:tc>
        <w:tc>
          <w:tcPr>
            <w:tcW w:w="3713" w:type="dxa"/>
            <w:shd w:val="clear" w:color="auto" w:fill="auto"/>
            <w:vAlign w:val="top"/>
          </w:tcPr>
          <w:p w14:paraId="43D1EEC1">
            <w:pPr>
              <w:widowControl/>
              <w:spacing w:line="360" w:lineRule="auto"/>
              <w:jc w:val="left"/>
              <w:rPr>
                <w:rFonts w:hint="eastAsia" w:ascii="仿宋" w:hAnsi="仿宋" w:eastAsia="仿宋" w:cs="仿宋"/>
                <w:color w:val="auto"/>
                <w:kern w:val="0"/>
                <w:sz w:val="21"/>
                <w:szCs w:val="21"/>
                <w:highlight w:val="none"/>
                <w:vertAlign w:val="baseline"/>
                <w:lang w:val="en-US" w:eastAsia="zh-CN"/>
              </w:rPr>
            </w:pPr>
          </w:p>
        </w:tc>
        <w:tc>
          <w:tcPr>
            <w:tcW w:w="1285" w:type="dxa"/>
            <w:shd w:val="clear" w:color="auto" w:fill="auto"/>
            <w:vAlign w:val="top"/>
          </w:tcPr>
          <w:p w14:paraId="1B072ACC">
            <w:pPr>
              <w:widowControl/>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13975.5</w:t>
            </w:r>
          </w:p>
        </w:tc>
        <w:tc>
          <w:tcPr>
            <w:tcW w:w="1285" w:type="dxa"/>
            <w:shd w:val="clear" w:color="auto" w:fill="auto"/>
            <w:vAlign w:val="top"/>
          </w:tcPr>
          <w:p w14:paraId="153D0CAF">
            <w:pPr>
              <w:widowControl/>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5989.5</w:t>
            </w:r>
          </w:p>
        </w:tc>
        <w:tc>
          <w:tcPr>
            <w:tcW w:w="1285" w:type="dxa"/>
            <w:shd w:val="clear" w:color="auto" w:fill="auto"/>
            <w:vAlign w:val="top"/>
          </w:tcPr>
          <w:p w14:paraId="0BD377A9">
            <w:pPr>
              <w:widowControl/>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19965</w:t>
            </w:r>
          </w:p>
        </w:tc>
      </w:tr>
      <w:tr w14:paraId="4980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shd w:val="clear" w:color="auto" w:fill="auto"/>
            <w:vAlign w:val="center"/>
          </w:tcPr>
          <w:p w14:paraId="6C5AB246">
            <w:pPr>
              <w:widowControl/>
              <w:spacing w:line="360" w:lineRule="auto"/>
              <w:jc w:val="center"/>
              <w:rPr>
                <w:rFonts w:hint="eastAsia" w:ascii="仿宋" w:hAnsi="仿宋" w:eastAsia="仿宋" w:cs="仿宋"/>
                <w:color w:val="auto"/>
                <w:kern w:val="0"/>
                <w:sz w:val="21"/>
                <w:szCs w:val="21"/>
                <w:highlight w:val="none"/>
                <w:vertAlign w:val="baseline"/>
                <w:lang w:eastAsia="zh-CN"/>
              </w:rPr>
            </w:pPr>
            <w:r>
              <w:rPr>
                <w:rFonts w:hint="eastAsia" w:ascii="仿宋" w:hAnsi="仿宋" w:eastAsia="仿宋" w:cs="仿宋"/>
                <w:color w:val="auto"/>
                <w:kern w:val="0"/>
                <w:sz w:val="21"/>
                <w:szCs w:val="21"/>
                <w:highlight w:val="none"/>
                <w:vertAlign w:val="baseline"/>
                <w:lang w:eastAsia="zh-CN"/>
              </w:rPr>
              <w:t>第五期</w:t>
            </w:r>
          </w:p>
        </w:tc>
        <w:tc>
          <w:tcPr>
            <w:tcW w:w="3713" w:type="dxa"/>
            <w:shd w:val="clear" w:color="auto" w:fill="auto"/>
            <w:vAlign w:val="top"/>
          </w:tcPr>
          <w:p w14:paraId="65B2738F">
            <w:pPr>
              <w:widowControl/>
              <w:spacing w:line="360" w:lineRule="auto"/>
              <w:jc w:val="left"/>
              <w:rPr>
                <w:rFonts w:hint="eastAsia" w:ascii="仿宋" w:hAnsi="仿宋" w:eastAsia="仿宋" w:cs="仿宋"/>
                <w:color w:val="auto"/>
                <w:kern w:val="0"/>
                <w:sz w:val="21"/>
                <w:szCs w:val="21"/>
                <w:highlight w:val="none"/>
                <w:vertAlign w:val="baseline"/>
                <w:lang w:val="en-US" w:eastAsia="zh-CN"/>
              </w:rPr>
            </w:pPr>
          </w:p>
        </w:tc>
        <w:tc>
          <w:tcPr>
            <w:tcW w:w="1285" w:type="dxa"/>
            <w:shd w:val="clear" w:color="auto" w:fill="auto"/>
            <w:vAlign w:val="top"/>
          </w:tcPr>
          <w:p w14:paraId="1559873F">
            <w:pPr>
              <w:widowControl/>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15373.05</w:t>
            </w:r>
          </w:p>
        </w:tc>
        <w:tc>
          <w:tcPr>
            <w:tcW w:w="1285" w:type="dxa"/>
            <w:shd w:val="clear" w:color="auto" w:fill="auto"/>
            <w:vAlign w:val="top"/>
          </w:tcPr>
          <w:p w14:paraId="12C24C38">
            <w:pPr>
              <w:widowControl/>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6588.45</w:t>
            </w:r>
          </w:p>
        </w:tc>
        <w:tc>
          <w:tcPr>
            <w:tcW w:w="1285" w:type="dxa"/>
            <w:shd w:val="clear" w:color="auto" w:fill="auto"/>
            <w:vAlign w:val="top"/>
          </w:tcPr>
          <w:p w14:paraId="23BA3F18">
            <w:pPr>
              <w:widowControl/>
              <w:spacing w:line="360" w:lineRule="auto"/>
              <w:jc w:val="left"/>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21961.5</w:t>
            </w:r>
          </w:p>
        </w:tc>
      </w:tr>
    </w:tbl>
    <w:p w14:paraId="4A788483">
      <w:pPr>
        <w:ind w:firstLine="560" w:firstLineChars="200"/>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、租金缴纳方式：</w:t>
      </w:r>
      <w:r>
        <w:rPr>
          <w:rFonts w:hint="eastAsia" w:ascii="仿宋_GB2312" w:hAnsi="仿宋_GB2312" w:eastAsia="仿宋_GB2312" w:cs="仿宋_GB2312"/>
          <w:b w:val="0"/>
          <w:bCs w:val="0"/>
          <w:color w:val="auto"/>
          <w:sz w:val="28"/>
          <w:szCs w:val="28"/>
          <w:highlight w:val="none"/>
        </w:rPr>
        <w:t>非税收入，系统自动生成非税收入一般缴款书，</w:t>
      </w:r>
      <w:r>
        <w:rPr>
          <w:rFonts w:hint="eastAsia" w:ascii="仿宋_GB2312" w:hAnsi="仿宋_GB2312" w:eastAsia="仿宋_GB2312" w:cs="仿宋_GB2312"/>
          <w:b w:val="0"/>
          <w:bCs w:val="0"/>
          <w:color w:val="auto"/>
          <w:sz w:val="28"/>
          <w:szCs w:val="28"/>
          <w:highlight w:val="none"/>
          <w:lang w:eastAsia="zh-CN"/>
        </w:rPr>
        <w:t>每</w:t>
      </w:r>
      <w:r>
        <w:rPr>
          <w:rFonts w:hint="eastAsia" w:ascii="仿宋_GB2312" w:hAnsi="仿宋_GB2312" w:eastAsia="仿宋_GB2312" w:cs="仿宋_GB2312"/>
          <w:b w:val="0"/>
          <w:bCs w:val="0"/>
          <w:color w:val="auto"/>
          <w:sz w:val="28"/>
          <w:szCs w:val="28"/>
          <w:highlight w:val="none"/>
          <w:lang w:val="en-US" w:eastAsia="zh-CN"/>
        </w:rPr>
        <w:t>月</w:t>
      </w:r>
      <w:r>
        <w:rPr>
          <w:rFonts w:hint="eastAsia" w:ascii="仿宋_GB2312" w:hAnsi="仿宋_GB2312" w:eastAsia="仿宋_GB2312" w:cs="仿宋_GB2312"/>
          <w:b w:val="0"/>
          <w:bCs w:val="0"/>
          <w:color w:val="auto"/>
          <w:sz w:val="28"/>
          <w:szCs w:val="28"/>
          <w:highlight w:val="none"/>
        </w:rPr>
        <w:t>支付</w:t>
      </w:r>
      <w:r>
        <w:rPr>
          <w:rFonts w:hint="eastAsia" w:ascii="仿宋_GB2312" w:hAnsi="仿宋_GB2312" w:eastAsia="仿宋_GB2312" w:cs="仿宋_GB2312"/>
          <w:b w:val="0"/>
          <w:bCs w:val="0"/>
          <w:color w:val="auto"/>
          <w:sz w:val="28"/>
          <w:szCs w:val="28"/>
          <w:highlight w:val="none"/>
          <w:lang w:eastAsia="zh-CN"/>
        </w:rPr>
        <w:t>一次</w:t>
      </w:r>
      <w:r>
        <w:rPr>
          <w:rFonts w:hint="eastAsia" w:ascii="仿宋_GB2312" w:hAnsi="仿宋_GB2312" w:eastAsia="仿宋_GB2312" w:cs="仿宋_GB2312"/>
          <w:b w:val="0"/>
          <w:bCs w:val="0"/>
          <w:color w:val="auto"/>
          <w:sz w:val="28"/>
          <w:szCs w:val="28"/>
          <w:highlight w:val="none"/>
        </w:rPr>
        <w:t>租金</w:t>
      </w:r>
      <w:r>
        <w:rPr>
          <w:rFonts w:hint="eastAsia" w:ascii="仿宋_GB2312" w:hAnsi="仿宋_GB2312" w:eastAsia="仿宋_GB2312" w:cs="仿宋_GB2312"/>
          <w:b w:val="0"/>
          <w:bCs w:val="0"/>
          <w:color w:val="auto"/>
          <w:sz w:val="28"/>
          <w:szCs w:val="28"/>
          <w:highlight w:val="none"/>
          <w:lang w:eastAsia="zh-CN"/>
        </w:rPr>
        <w:t>，</w:t>
      </w:r>
      <w:r>
        <w:rPr>
          <w:rFonts w:hint="eastAsia" w:ascii="仿宋" w:hAnsi="仿宋" w:eastAsia="仿宋" w:cs="仿宋"/>
          <w:color w:val="auto"/>
          <w:kern w:val="2"/>
          <w:sz w:val="28"/>
          <w:szCs w:val="28"/>
          <w:highlight w:val="none"/>
          <w:lang w:val="en-US" w:eastAsia="zh-CN"/>
        </w:rPr>
        <w:t>乙方须以转账的方式将当期租金和管养费款项按比例缴交至市财政局非税收入专户和丙方银行账户，详见《中山市非税转账须知》</w:t>
      </w:r>
      <w:r>
        <w:rPr>
          <w:rFonts w:hint="eastAsia" w:ascii="仿宋_GB2312" w:hAnsi="仿宋_GB2312" w:eastAsia="仿宋_GB2312" w:cs="仿宋_GB2312"/>
          <w:b w:val="0"/>
          <w:bCs w:val="0"/>
          <w:color w:val="auto"/>
          <w:sz w:val="28"/>
          <w:szCs w:val="28"/>
          <w:highlight w:val="none"/>
          <w:lang w:eastAsia="zh-CN"/>
        </w:rPr>
        <w:t>；</w:t>
      </w:r>
    </w:p>
    <w:p w14:paraId="46A0C7FD">
      <w:pPr>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计租时间：</w:t>
      </w:r>
      <w:r>
        <w:rPr>
          <w:rFonts w:hint="eastAsia" w:ascii="仿宋_GB2312" w:hAnsi="仿宋_GB2312" w:eastAsia="仿宋_GB2312" w:cs="仿宋_GB2312"/>
          <w:b w:val="0"/>
          <w:bCs w:val="0"/>
          <w:color w:val="auto"/>
          <w:sz w:val="28"/>
          <w:szCs w:val="28"/>
          <w:highlight w:val="none"/>
          <w:lang w:val="en-US" w:eastAsia="zh-CN"/>
        </w:rPr>
        <w:t>免租期4个月</w:t>
      </w:r>
      <w:r>
        <w:rPr>
          <w:rFonts w:hint="eastAsia" w:ascii="仿宋_GB2312" w:hAnsi="仿宋_GB2312" w:eastAsia="仿宋_GB2312" w:cs="仿宋_GB2312"/>
          <w:color w:val="auto"/>
          <w:sz w:val="28"/>
          <w:szCs w:val="28"/>
          <w:highlight w:val="none"/>
        </w:rPr>
        <w:t>。</w:t>
      </w:r>
    </w:p>
    <w:p w14:paraId="3DCCB560">
      <w:pPr>
        <w:ind w:firstLine="560" w:firstLineChars="200"/>
        <w:rPr>
          <w:rFonts w:hint="eastAsia" w:ascii="仿宋_GB2312" w:hAnsi="仿宋_GB2312" w:eastAsia="仿宋_GB2312" w:cs="仿宋_GB2312"/>
          <w:color w:val="auto"/>
          <w:sz w:val="28"/>
          <w:szCs w:val="28"/>
          <w:highlight w:val="none"/>
          <w:lang w:val="en-US" w:eastAsia="zh-CN"/>
        </w:rPr>
      </w:pPr>
    </w:p>
    <w:p w14:paraId="1C378526">
      <w:pPr>
        <w:ind w:firstLine="560" w:firstLineChars="200"/>
        <w:rPr>
          <w:rFonts w:hint="eastAsia" w:ascii="仿宋_GB2312" w:hAnsi="仿宋_GB2312" w:eastAsia="仿宋_GB2312" w:cs="仿宋_GB2312"/>
          <w:color w:val="auto"/>
          <w:sz w:val="28"/>
          <w:szCs w:val="28"/>
          <w:highlight w:val="none"/>
          <w:lang w:val="en-US" w:eastAsia="zh-CN"/>
        </w:rPr>
      </w:pPr>
    </w:p>
    <w:p w14:paraId="08411BE5">
      <w:pPr>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智慧停车场收费指导价：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3"/>
        <w:gridCol w:w="5556"/>
      </w:tblGrid>
      <w:tr w14:paraId="4A149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3" w:type="dxa"/>
            <w:noWrap w:val="0"/>
            <w:vAlign w:val="top"/>
          </w:tcPr>
          <w:p w14:paraId="531A2988">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车辆类型</w:t>
            </w:r>
          </w:p>
        </w:tc>
        <w:tc>
          <w:tcPr>
            <w:tcW w:w="5556" w:type="dxa"/>
            <w:noWrap w:val="0"/>
            <w:vAlign w:val="top"/>
          </w:tcPr>
          <w:p w14:paraId="5C1FA135">
            <w:pPr>
              <w:jc w:val="center"/>
              <w:rPr>
                <w:rFonts w:hint="eastAsia" w:ascii="仿宋" w:hAnsi="仿宋" w:eastAsia="仿宋" w:cs="仿宋"/>
                <w:b/>
                <w:bCs/>
                <w:color w:val="auto"/>
                <w:sz w:val="28"/>
                <w:szCs w:val="28"/>
                <w:highlight w:val="none"/>
                <w:vertAlign w:val="baseline"/>
                <w:lang w:eastAsia="zh-CN"/>
              </w:rPr>
            </w:pPr>
            <w:r>
              <w:rPr>
                <w:rFonts w:hint="eastAsia" w:ascii="仿宋" w:hAnsi="仿宋" w:eastAsia="仿宋" w:cs="仿宋"/>
                <w:b/>
                <w:bCs/>
                <w:color w:val="auto"/>
                <w:sz w:val="28"/>
                <w:szCs w:val="28"/>
                <w:highlight w:val="none"/>
                <w:vertAlign w:val="baseline"/>
                <w:lang w:eastAsia="zh-CN"/>
              </w:rPr>
              <w:t>收费标准</w:t>
            </w:r>
          </w:p>
        </w:tc>
      </w:tr>
      <w:tr w14:paraId="7796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43" w:type="dxa"/>
            <w:noWrap w:val="0"/>
            <w:vAlign w:val="center"/>
          </w:tcPr>
          <w:p w14:paraId="176663BE">
            <w:pPr>
              <w:jc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eastAsia="zh-CN"/>
              </w:rPr>
              <w:t>临停车</w:t>
            </w:r>
          </w:p>
        </w:tc>
        <w:tc>
          <w:tcPr>
            <w:tcW w:w="5556" w:type="dxa"/>
            <w:noWrap w:val="0"/>
            <w:vAlign w:val="top"/>
          </w:tcPr>
          <w:p w14:paraId="2C26E22D">
            <w:pPr>
              <w:jc w:val="both"/>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1小时内免费，超1小时收费5元，每增加1小时加收1.5元/小时，24小时内20元封顶，超过24小时后循环计费</w:t>
            </w:r>
          </w:p>
        </w:tc>
      </w:tr>
      <w:tr w14:paraId="0ADA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43" w:type="dxa"/>
            <w:noWrap w:val="0"/>
            <w:vAlign w:val="center"/>
          </w:tcPr>
          <w:p w14:paraId="6588C475">
            <w:pPr>
              <w:jc w:val="center"/>
              <w:rPr>
                <w:rFonts w:hint="eastAsia" w:ascii="仿宋" w:hAnsi="仿宋" w:eastAsia="仿宋" w:cs="仿宋"/>
                <w:b w:val="0"/>
                <w:bCs w:val="0"/>
                <w:color w:val="auto"/>
                <w:kern w:val="2"/>
                <w:sz w:val="28"/>
                <w:szCs w:val="28"/>
                <w:highlight w:val="none"/>
                <w:vertAlign w:val="baseline"/>
                <w:lang w:val="en-US" w:eastAsia="zh-CN" w:bidi="ar-SA"/>
              </w:rPr>
            </w:pPr>
            <w:r>
              <w:rPr>
                <w:rFonts w:hint="eastAsia" w:ascii="仿宋" w:hAnsi="仿宋" w:eastAsia="仿宋" w:cs="仿宋"/>
                <w:b w:val="0"/>
                <w:bCs w:val="0"/>
                <w:color w:val="auto"/>
                <w:sz w:val="28"/>
                <w:szCs w:val="28"/>
                <w:highlight w:val="none"/>
                <w:vertAlign w:val="baseline"/>
                <w:lang w:eastAsia="zh-CN"/>
              </w:rPr>
              <w:t>月租车</w:t>
            </w:r>
          </w:p>
        </w:tc>
        <w:tc>
          <w:tcPr>
            <w:tcW w:w="5556" w:type="dxa"/>
            <w:noWrap w:val="0"/>
            <w:vAlign w:val="top"/>
          </w:tcPr>
          <w:p w14:paraId="7E094766">
            <w:pPr>
              <w:jc w:val="both"/>
              <w:rPr>
                <w:rFonts w:hint="eastAsia" w:ascii="仿宋" w:hAnsi="仿宋" w:eastAsia="仿宋" w:cs="仿宋"/>
                <w:b w:val="0"/>
                <w:bCs w:val="0"/>
                <w:color w:val="auto"/>
                <w:sz w:val="28"/>
                <w:szCs w:val="28"/>
                <w:highlight w:val="none"/>
                <w:vertAlign w:val="baseline"/>
                <w:lang w:val="en-US" w:eastAsia="zh-CN"/>
              </w:rPr>
            </w:pPr>
            <w:r>
              <w:rPr>
                <w:rFonts w:hint="eastAsia" w:ascii="仿宋" w:hAnsi="仿宋" w:eastAsia="仿宋" w:cs="仿宋"/>
                <w:b w:val="0"/>
                <w:bCs w:val="0"/>
                <w:color w:val="auto"/>
                <w:sz w:val="28"/>
                <w:szCs w:val="28"/>
                <w:highlight w:val="none"/>
                <w:vertAlign w:val="baseline"/>
                <w:lang w:val="en-US" w:eastAsia="zh-CN"/>
              </w:rPr>
              <w:t>月租金200元/月/辆</w:t>
            </w:r>
          </w:p>
        </w:tc>
      </w:tr>
    </w:tbl>
    <w:p w14:paraId="7DEDFF04">
      <w:pPr>
        <w:spacing w:line="240" w:lineRule="auto"/>
        <w:ind w:firstLine="562" w:firstLineChars="200"/>
        <w:rPr>
          <w:rFonts w:hint="eastAsia" w:ascii="仿宋_GB2312" w:hAnsi="仿宋_GB2312" w:eastAsia="仿宋_GB2312" w:cs="仿宋_GB2312"/>
          <w:color w:val="auto"/>
          <w:sz w:val="28"/>
          <w:szCs w:val="28"/>
          <w:highlight w:val="none"/>
        </w:rPr>
      </w:pPr>
      <w:r>
        <w:rPr>
          <w:rFonts w:hint="eastAsia" w:ascii="黑体" w:hAnsi="黑体" w:eastAsia="黑体" w:cs="黑体"/>
          <w:b/>
          <w:bCs/>
          <w:color w:val="auto"/>
          <w:sz w:val="28"/>
          <w:szCs w:val="28"/>
          <w:highlight w:val="none"/>
        </w:rPr>
        <w:t>二、规划用途：</w:t>
      </w:r>
      <w:r>
        <w:rPr>
          <w:rFonts w:hint="eastAsia" w:ascii="仿宋_GB2312" w:hAnsi="仿宋_GB2312" w:eastAsia="仿宋_GB2312" w:cs="仿宋_GB2312"/>
          <w:color w:val="auto"/>
          <w:sz w:val="28"/>
          <w:szCs w:val="28"/>
          <w:highlight w:val="none"/>
          <w:lang w:eastAsia="zh-CN"/>
        </w:rPr>
        <w:t>出租区域</w:t>
      </w:r>
      <w:r>
        <w:rPr>
          <w:rFonts w:hint="eastAsia" w:ascii="仿宋" w:hAnsi="仿宋" w:eastAsia="仿宋" w:cs="仿宋"/>
          <w:color w:val="auto"/>
          <w:sz w:val="28"/>
          <w:szCs w:val="28"/>
          <w:highlight w:val="none"/>
          <w:lang w:val="en-US" w:eastAsia="zh-CN"/>
        </w:rPr>
        <w:t>作停车场</w:t>
      </w:r>
      <w:r>
        <w:rPr>
          <w:rFonts w:hint="eastAsia" w:ascii="仿宋" w:hAnsi="仿宋" w:eastAsia="仿宋" w:cs="仿宋"/>
          <w:b w:val="0"/>
          <w:bCs w:val="0"/>
          <w:color w:val="auto"/>
          <w:sz w:val="28"/>
          <w:szCs w:val="28"/>
          <w:highlight w:val="none"/>
          <w:lang w:val="en-US" w:eastAsia="zh-CN"/>
        </w:rPr>
        <w:t>和配套</w:t>
      </w:r>
      <w:r>
        <w:rPr>
          <w:rFonts w:hint="eastAsia" w:ascii="仿宋" w:hAnsi="仿宋" w:eastAsia="仿宋" w:cs="仿宋"/>
          <w:color w:val="auto"/>
          <w:sz w:val="28"/>
          <w:szCs w:val="28"/>
          <w:highlight w:val="none"/>
          <w:lang w:eastAsia="zh-CN"/>
        </w:rPr>
        <w:t>电动汽车充电桩使用</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管养区域运营须符合当地环保等相关部门要求，且必须严格遵守中华人民共和国各项法律法规</w:t>
      </w:r>
      <w:r>
        <w:rPr>
          <w:rFonts w:hint="eastAsia" w:ascii="仿宋_GB2312" w:hAnsi="仿宋_GB2312" w:eastAsia="仿宋_GB2312" w:cs="仿宋_GB2312"/>
          <w:color w:val="auto"/>
          <w:sz w:val="28"/>
          <w:szCs w:val="28"/>
          <w:highlight w:val="none"/>
        </w:rPr>
        <w:t>；</w:t>
      </w:r>
    </w:p>
    <w:p w14:paraId="733B8EC3">
      <w:pPr>
        <w:spacing w:line="240" w:lineRule="auto"/>
        <w:ind w:firstLine="562" w:firstLineChars="200"/>
        <w:rPr>
          <w:rFonts w:hint="eastAsia" w:ascii="仿宋_GB2312" w:hAnsi="仿宋_GB2312" w:eastAsia="仿宋_GB2312" w:cs="仿宋_GB2312"/>
          <w:color w:val="auto"/>
          <w:sz w:val="28"/>
          <w:szCs w:val="28"/>
          <w:highlight w:val="none"/>
        </w:rPr>
      </w:pPr>
      <w:r>
        <w:rPr>
          <w:rFonts w:hint="eastAsia" w:ascii="黑体" w:hAnsi="黑体" w:eastAsia="黑体" w:cs="黑体"/>
          <w:b/>
          <w:bCs/>
          <w:color w:val="auto"/>
          <w:sz w:val="28"/>
          <w:szCs w:val="28"/>
          <w:highlight w:val="none"/>
        </w:rPr>
        <w:t>三、</w:t>
      </w:r>
      <w:r>
        <w:rPr>
          <w:rFonts w:hint="eastAsia" w:ascii="黑体" w:hAnsi="黑体" w:eastAsia="黑体" w:cs="黑体"/>
          <w:b/>
          <w:bCs/>
          <w:color w:val="auto"/>
          <w:sz w:val="28"/>
          <w:szCs w:val="28"/>
          <w:highlight w:val="none"/>
          <w:lang w:val="en-US" w:eastAsia="zh-CN"/>
        </w:rPr>
        <w:t>投标</w:t>
      </w:r>
      <w:r>
        <w:rPr>
          <w:rFonts w:hint="eastAsia" w:ascii="黑体" w:hAnsi="黑体" w:eastAsia="黑体" w:cs="黑体"/>
          <w:b/>
          <w:bCs/>
          <w:color w:val="auto"/>
          <w:sz w:val="28"/>
          <w:szCs w:val="28"/>
          <w:highlight w:val="none"/>
        </w:rPr>
        <w:t>保证金：</w:t>
      </w:r>
      <w:r>
        <w:rPr>
          <w:rFonts w:hint="eastAsia" w:ascii="仿宋_GB2312" w:hAnsi="仿宋_GB2312" w:eastAsia="仿宋_GB2312" w:cs="仿宋_GB2312"/>
          <w:color w:val="auto"/>
          <w:sz w:val="28"/>
          <w:szCs w:val="28"/>
          <w:highlight w:val="none"/>
          <w:lang w:val="en-US" w:eastAsia="zh-CN"/>
        </w:rPr>
        <w:t>50000</w:t>
      </w:r>
      <w:r>
        <w:rPr>
          <w:rFonts w:hint="eastAsia" w:ascii="仿宋_GB2312" w:hAnsi="仿宋_GB2312" w:eastAsia="仿宋_GB2312" w:cs="仿宋_GB2312"/>
          <w:b w:val="0"/>
          <w:bCs w:val="0"/>
          <w:color w:val="auto"/>
          <w:sz w:val="28"/>
          <w:szCs w:val="28"/>
          <w:highlight w:val="none"/>
        </w:rPr>
        <w:t>元人民币</w:t>
      </w:r>
      <w:r>
        <w:rPr>
          <w:rFonts w:hint="eastAsia" w:ascii="仿宋_GB2312" w:hAnsi="仿宋_GB2312" w:eastAsia="仿宋_GB2312" w:cs="仿宋_GB2312"/>
          <w:b w:val="0"/>
          <w:bCs w:val="0"/>
          <w:color w:val="auto"/>
          <w:sz w:val="28"/>
          <w:szCs w:val="28"/>
          <w:highlight w:val="none"/>
          <w:lang w:eastAsia="zh-CN"/>
        </w:rPr>
        <w:t>（大写：伍万元整）</w:t>
      </w:r>
      <w:r>
        <w:rPr>
          <w:rFonts w:hint="eastAsia" w:ascii="仿宋_GB2312" w:hAnsi="仿宋_GB2312" w:eastAsia="仿宋_GB2312" w:cs="仿宋_GB2312"/>
          <w:b w:val="0"/>
          <w:bCs w:val="0"/>
          <w:color w:val="auto"/>
          <w:sz w:val="28"/>
          <w:szCs w:val="28"/>
          <w:highlight w:val="none"/>
        </w:rPr>
        <w:t>；</w:t>
      </w:r>
    </w:p>
    <w:p w14:paraId="02909B8C">
      <w:pPr>
        <w:spacing w:line="240" w:lineRule="auto"/>
        <w:ind w:firstLine="562" w:firstLineChars="200"/>
        <w:rPr>
          <w:rFonts w:hint="eastAsia" w:ascii="仿宋_GB2312" w:hAnsi="仿宋_GB2312" w:eastAsia="仿宋_GB2312" w:cs="仿宋_GB2312"/>
          <w:color w:val="auto"/>
          <w:sz w:val="28"/>
          <w:szCs w:val="28"/>
          <w:highlight w:val="none"/>
        </w:rPr>
      </w:pPr>
      <w:r>
        <w:rPr>
          <w:rFonts w:hint="eastAsia" w:ascii="黑体" w:hAnsi="黑体" w:eastAsia="黑体" w:cs="黑体"/>
          <w:b/>
          <w:bCs/>
          <w:color w:val="auto"/>
          <w:sz w:val="28"/>
          <w:szCs w:val="28"/>
          <w:highlight w:val="none"/>
        </w:rPr>
        <w:t>四、投标报名：</w:t>
      </w:r>
    </w:p>
    <w:p w14:paraId="35312629">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1、参与竞投者须缴纳投标保证金</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缴纳保证金账号必须与竞投者保持一致</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缴交时要备注具体参投项目</w:t>
      </w:r>
      <w:r>
        <w:rPr>
          <w:rFonts w:hint="eastAsia" w:ascii="仿宋_GB2312" w:hAnsi="仿宋_GB2312" w:eastAsia="仿宋_GB2312" w:cs="仿宋_GB2312"/>
          <w:b w:val="0"/>
          <w:bCs w:val="0"/>
          <w:color w:val="auto"/>
          <w:sz w:val="28"/>
          <w:szCs w:val="28"/>
          <w:highlight w:val="none"/>
        </w:rPr>
        <w:t>，竞投者</w:t>
      </w:r>
      <w:r>
        <w:rPr>
          <w:rFonts w:hint="eastAsia" w:ascii="仿宋_GB2312" w:hAnsi="仿宋_GB2312" w:eastAsia="仿宋_GB2312" w:cs="仿宋_GB2312"/>
          <w:color w:val="auto"/>
          <w:sz w:val="28"/>
          <w:szCs w:val="28"/>
          <w:highlight w:val="none"/>
        </w:rPr>
        <w:t>请于</w:t>
      </w:r>
      <w:r>
        <w:rPr>
          <w:rFonts w:hint="eastAsia" w:ascii="仿宋_GB2312" w:hAnsi="仿宋_GB2312" w:eastAsia="仿宋_GB2312" w:cs="仿宋_GB2312"/>
          <w:i w:val="0"/>
          <w:caps w:val="0"/>
          <w:color w:val="auto"/>
          <w:spacing w:val="0"/>
          <w:sz w:val="28"/>
          <w:szCs w:val="28"/>
          <w:highlight w:val="none"/>
        </w:rPr>
        <w:t>202</w:t>
      </w:r>
      <w:r>
        <w:rPr>
          <w:rFonts w:hint="eastAsia" w:ascii="仿宋_GB2312" w:hAnsi="仿宋_GB2312" w:eastAsia="仿宋_GB2312" w:cs="仿宋_GB2312"/>
          <w:i w:val="0"/>
          <w:caps w:val="0"/>
          <w:color w:val="auto"/>
          <w:spacing w:val="0"/>
          <w:sz w:val="28"/>
          <w:szCs w:val="28"/>
          <w:highlight w:val="none"/>
          <w:lang w:val="en-US" w:eastAsia="zh-CN"/>
        </w:rPr>
        <w:t>5</w:t>
      </w:r>
      <w:r>
        <w:rPr>
          <w:rFonts w:hint="eastAsia" w:ascii="仿宋_GB2312" w:hAnsi="仿宋_GB2312" w:eastAsia="仿宋_GB2312" w:cs="仿宋_GB2312"/>
          <w:i w:val="0"/>
          <w:caps w:val="0"/>
          <w:color w:val="auto"/>
          <w:spacing w:val="0"/>
          <w:sz w:val="28"/>
          <w:szCs w:val="28"/>
          <w:highlight w:val="none"/>
        </w:rPr>
        <w:t>年</w:t>
      </w:r>
      <w:r>
        <w:rPr>
          <w:rFonts w:hint="eastAsia" w:ascii="仿宋_GB2312" w:hAnsi="仿宋_GB2312" w:eastAsia="仿宋_GB2312" w:cs="仿宋_GB2312"/>
          <w:i w:val="0"/>
          <w:caps w:val="0"/>
          <w:color w:val="auto"/>
          <w:spacing w:val="0"/>
          <w:sz w:val="28"/>
          <w:szCs w:val="28"/>
          <w:highlight w:val="none"/>
          <w:lang w:val="en-US" w:eastAsia="zh-CN"/>
        </w:rPr>
        <w:t>4</w:t>
      </w:r>
      <w:r>
        <w:rPr>
          <w:rFonts w:hint="eastAsia" w:ascii="仿宋_GB2312" w:hAnsi="仿宋_GB2312" w:eastAsia="仿宋_GB2312" w:cs="仿宋_GB2312"/>
          <w:i w:val="0"/>
          <w:caps w:val="0"/>
          <w:color w:val="auto"/>
          <w:spacing w:val="0"/>
          <w:sz w:val="28"/>
          <w:szCs w:val="28"/>
          <w:highlight w:val="none"/>
        </w:rPr>
        <w:t>月</w:t>
      </w:r>
      <w:r>
        <w:rPr>
          <w:rFonts w:hint="eastAsia" w:ascii="仿宋_GB2312" w:hAnsi="仿宋_GB2312" w:eastAsia="仿宋_GB2312" w:cs="仿宋_GB2312"/>
          <w:i w:val="0"/>
          <w:caps w:val="0"/>
          <w:color w:val="auto"/>
          <w:spacing w:val="0"/>
          <w:sz w:val="28"/>
          <w:szCs w:val="28"/>
          <w:highlight w:val="none"/>
          <w:lang w:val="en-US" w:eastAsia="zh-CN"/>
        </w:rPr>
        <w:t>28</w:t>
      </w:r>
      <w:r>
        <w:rPr>
          <w:rFonts w:hint="eastAsia" w:ascii="仿宋_GB2312" w:hAnsi="仿宋_GB2312" w:eastAsia="仿宋_GB2312" w:cs="仿宋_GB2312"/>
          <w:color w:val="auto"/>
          <w:sz w:val="28"/>
          <w:szCs w:val="28"/>
          <w:highlight w:val="none"/>
        </w:rPr>
        <w:t>日16：00前自行到</w:t>
      </w:r>
      <w:r>
        <w:rPr>
          <w:rFonts w:hint="eastAsia" w:ascii="仿宋_GB2312" w:hAnsi="仿宋_GB2312" w:eastAsia="仿宋_GB2312" w:cs="仿宋_GB2312"/>
          <w:color w:val="auto"/>
          <w:sz w:val="28"/>
          <w:szCs w:val="28"/>
          <w:highlight w:val="none"/>
          <w:lang w:eastAsia="zh-CN"/>
        </w:rPr>
        <w:t>建设银行东富路</w:t>
      </w:r>
      <w:r>
        <w:rPr>
          <w:rFonts w:hint="eastAsia" w:ascii="仿宋_GB2312" w:hAnsi="仿宋_GB2312" w:eastAsia="仿宋_GB2312" w:cs="仿宋_GB2312"/>
          <w:color w:val="auto"/>
          <w:sz w:val="28"/>
          <w:szCs w:val="28"/>
          <w:highlight w:val="none"/>
        </w:rPr>
        <w:t>支行缴纳（银行名称：</w:t>
      </w:r>
      <w:r>
        <w:rPr>
          <w:rFonts w:hint="eastAsia" w:ascii="仿宋_GB2312" w:hAnsi="仿宋_GB2312" w:eastAsia="仿宋_GB2312" w:cs="仿宋_GB2312"/>
          <w:color w:val="auto"/>
          <w:sz w:val="28"/>
          <w:szCs w:val="28"/>
          <w:highlight w:val="none"/>
          <w:lang w:eastAsia="zh-CN"/>
        </w:rPr>
        <w:t>中国建设银行中山东凤东富路支行</w:t>
      </w:r>
      <w:r>
        <w:rPr>
          <w:rFonts w:hint="eastAsia" w:ascii="仿宋_GB2312" w:hAnsi="仿宋_GB2312" w:eastAsia="仿宋_GB2312" w:cs="仿宋_GB2312"/>
          <w:color w:val="auto"/>
          <w:sz w:val="28"/>
          <w:szCs w:val="28"/>
          <w:highlight w:val="none"/>
        </w:rPr>
        <w:t>，单位名称：广东省中山市东凤镇东海社区居民委员会，账号：</w:t>
      </w:r>
      <w:r>
        <w:rPr>
          <w:rFonts w:hint="eastAsia" w:ascii="仿宋_GB2312" w:hAnsi="仿宋_GB2312" w:eastAsia="仿宋_GB2312" w:cs="仿宋_GB2312"/>
          <w:color w:val="auto"/>
          <w:sz w:val="28"/>
          <w:szCs w:val="28"/>
          <w:highlight w:val="none"/>
          <w:lang w:val="en-US" w:eastAsia="zh-CN"/>
        </w:rPr>
        <w:t>44050178180100001067</w:t>
      </w:r>
      <w:r>
        <w:rPr>
          <w:rFonts w:hint="eastAsia" w:ascii="仿宋_GB2312" w:hAnsi="仿宋_GB2312" w:eastAsia="仿宋_GB2312" w:cs="仿宋_GB2312"/>
          <w:color w:val="auto"/>
          <w:sz w:val="28"/>
          <w:szCs w:val="28"/>
          <w:highlight w:val="none"/>
        </w:rPr>
        <w:t>）。未中标者</w:t>
      </w:r>
      <w:r>
        <w:rPr>
          <w:rFonts w:hint="eastAsia" w:ascii="仿宋_GB2312" w:hAnsi="仿宋_GB2312" w:eastAsia="仿宋_GB2312" w:cs="仿宋_GB2312"/>
          <w:color w:val="auto"/>
          <w:sz w:val="28"/>
          <w:szCs w:val="28"/>
          <w:highlight w:val="none"/>
          <w:lang w:eastAsia="zh-CN"/>
        </w:rPr>
        <w:t>凭</w:t>
      </w:r>
      <w:r>
        <w:rPr>
          <w:rFonts w:hint="eastAsia" w:ascii="仿宋_GB2312" w:hAnsi="仿宋_GB2312" w:eastAsia="仿宋_GB2312" w:cs="仿宋_GB2312"/>
          <w:color w:val="auto"/>
          <w:sz w:val="28"/>
          <w:szCs w:val="28"/>
          <w:highlight w:val="none"/>
          <w:lang w:val="en-US" w:eastAsia="zh-CN"/>
        </w:rPr>
        <w:t>保证金缴款单回执、收款收据办理退回手续，</w:t>
      </w:r>
      <w:r>
        <w:rPr>
          <w:rFonts w:hint="eastAsia" w:ascii="仿宋_GB2312" w:hAnsi="仿宋_GB2312" w:eastAsia="仿宋_GB2312" w:cs="仿宋_GB2312"/>
          <w:color w:val="auto"/>
          <w:sz w:val="28"/>
          <w:szCs w:val="28"/>
          <w:highlight w:val="none"/>
          <w:lang w:eastAsia="zh-CN"/>
        </w:rPr>
        <w:t>社区</w:t>
      </w:r>
      <w:r>
        <w:rPr>
          <w:rFonts w:hint="eastAsia" w:ascii="仿宋_GB2312" w:hAnsi="仿宋_GB2312" w:eastAsia="仿宋_GB2312" w:cs="仿宋_GB2312"/>
          <w:color w:val="auto"/>
          <w:sz w:val="28"/>
          <w:szCs w:val="28"/>
          <w:highlight w:val="none"/>
          <w:lang w:val="en-US" w:eastAsia="zh-CN"/>
        </w:rPr>
        <w:t>于20</w:t>
      </w:r>
      <w:r>
        <w:rPr>
          <w:rFonts w:hint="eastAsia" w:ascii="仿宋_GB2312" w:hAnsi="仿宋_GB2312" w:eastAsia="仿宋_GB2312" w:cs="仿宋_GB2312"/>
          <w:color w:val="auto"/>
          <w:sz w:val="28"/>
          <w:szCs w:val="28"/>
          <w:highlight w:val="none"/>
        </w:rPr>
        <w:t>个工作日内退还保证金本金</w:t>
      </w:r>
      <w:r>
        <w:rPr>
          <w:rFonts w:hint="eastAsia" w:ascii="仿宋_GB2312" w:hAnsi="仿宋_GB2312" w:eastAsia="仿宋_GB2312" w:cs="仿宋_GB2312"/>
          <w:color w:val="auto"/>
          <w:sz w:val="28"/>
          <w:szCs w:val="28"/>
          <w:highlight w:val="none"/>
          <w:lang w:eastAsia="zh-CN"/>
        </w:rPr>
        <w:t>。</w:t>
      </w:r>
      <w:r>
        <w:rPr>
          <w:rFonts w:hint="eastAsia" w:ascii="仿宋_GB2312" w:hAnsi="仿宋" w:eastAsia="仿宋_GB2312" w:cs="Arial"/>
          <w:color w:val="auto"/>
          <w:kern w:val="0"/>
          <w:sz w:val="28"/>
          <w:szCs w:val="28"/>
          <w:highlight w:val="none"/>
          <w:lang w:val="en-US" w:eastAsia="zh-CN"/>
        </w:rPr>
        <w:t>中标者投标保证金自动转为合同履约金。</w:t>
      </w:r>
    </w:p>
    <w:p w14:paraId="3D8077B5">
      <w:pPr>
        <w:spacing w:line="240" w:lineRule="auto"/>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2、竞投者需具有独立法人资格</w:t>
      </w:r>
      <w:r>
        <w:rPr>
          <w:rFonts w:hint="eastAsia" w:ascii="仿宋_GB2312" w:hAnsi="仿宋_GB2312" w:eastAsia="仿宋_GB2312" w:cs="仿宋_GB2312"/>
          <w:color w:val="auto"/>
          <w:sz w:val="28"/>
          <w:szCs w:val="28"/>
          <w:highlight w:val="none"/>
          <w:lang w:val="en-US" w:eastAsia="zh-CN"/>
        </w:rPr>
        <w:t>企业；</w:t>
      </w:r>
      <w:r>
        <w:rPr>
          <w:rFonts w:hint="eastAsia" w:ascii="仿宋_GB2312" w:hAnsi="仿宋_GB2312" w:eastAsia="仿宋_GB2312" w:cs="仿宋_GB2312"/>
          <w:color w:val="auto"/>
          <w:sz w:val="28"/>
          <w:szCs w:val="28"/>
          <w:highlight w:val="none"/>
        </w:rPr>
        <w:t>具有良好的商业信誉和健全的财务会计制度；</w:t>
      </w:r>
      <w:r>
        <w:rPr>
          <w:rFonts w:hint="eastAsia" w:ascii="仿宋_GB2312" w:hAnsi="仿宋_GB2312" w:eastAsia="仿宋_GB2312" w:cs="仿宋_GB2312"/>
          <w:color w:val="auto"/>
          <w:sz w:val="28"/>
          <w:szCs w:val="28"/>
          <w:highlight w:val="none"/>
          <w:lang w:eastAsia="zh-CN"/>
        </w:rPr>
        <w:t>有物业管理或停车场运营管理服务资质。为方便现场管理，参加投标单位注册地为东凤镇，</w:t>
      </w:r>
      <w:r>
        <w:rPr>
          <w:rFonts w:hint="eastAsia" w:ascii="仿宋_GB2312" w:hAnsi="仿宋_GB2312" w:eastAsia="仿宋_GB2312" w:cs="仿宋_GB2312"/>
          <w:color w:val="auto"/>
          <w:sz w:val="28"/>
          <w:szCs w:val="28"/>
          <w:highlight w:val="none"/>
        </w:rPr>
        <w:t>参加本次招投标前</w:t>
      </w:r>
      <w:r>
        <w:rPr>
          <w:rFonts w:hint="eastAsia" w:ascii="仿宋_GB2312" w:hAnsi="仿宋_GB2312" w:eastAsia="仿宋_GB2312" w:cs="仿宋_GB2312"/>
          <w:color w:val="auto"/>
          <w:sz w:val="28"/>
          <w:szCs w:val="28"/>
          <w:highlight w:val="none"/>
          <w:lang w:eastAsia="zh-CN"/>
        </w:rPr>
        <w:t>五</w:t>
      </w:r>
      <w:r>
        <w:rPr>
          <w:rFonts w:hint="eastAsia" w:ascii="仿宋_GB2312" w:hAnsi="仿宋_GB2312" w:eastAsia="仿宋_GB2312" w:cs="仿宋_GB2312"/>
          <w:color w:val="auto"/>
          <w:sz w:val="28"/>
          <w:szCs w:val="28"/>
          <w:highlight w:val="none"/>
        </w:rPr>
        <w:t>年内，有依法缴纳税收和社会保障资金</w:t>
      </w:r>
      <w:r>
        <w:rPr>
          <w:rFonts w:hint="eastAsia" w:ascii="仿宋_GB2312" w:hAnsi="仿宋_GB2312" w:eastAsia="仿宋_GB2312" w:cs="仿宋_GB2312"/>
          <w:color w:val="auto"/>
          <w:sz w:val="28"/>
          <w:szCs w:val="28"/>
          <w:highlight w:val="none"/>
          <w:lang w:eastAsia="zh-CN"/>
        </w:rPr>
        <w:t>（近六个月参保人数不少于</w:t>
      </w:r>
      <w:r>
        <w:rPr>
          <w:rFonts w:hint="eastAsia" w:ascii="仿宋_GB2312" w:hAnsi="仿宋_GB2312" w:eastAsia="仿宋_GB2312" w:cs="仿宋_GB2312"/>
          <w:color w:val="auto"/>
          <w:sz w:val="28"/>
          <w:szCs w:val="28"/>
          <w:highlight w:val="none"/>
          <w:lang w:val="en-US" w:eastAsia="zh-CN"/>
        </w:rPr>
        <w:t>8人）</w:t>
      </w:r>
      <w:r>
        <w:rPr>
          <w:rFonts w:hint="eastAsia" w:ascii="仿宋_GB2312" w:hAnsi="仿宋_GB2312" w:eastAsia="仿宋_GB2312" w:cs="仿宋_GB2312"/>
          <w:color w:val="auto"/>
          <w:sz w:val="28"/>
          <w:szCs w:val="28"/>
          <w:highlight w:val="none"/>
        </w:rPr>
        <w:t>的良好记录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在经营活动中没有重大违法记录</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不接受联合竞投。在报名截止前携带法人身份证</w:t>
      </w:r>
      <w:r>
        <w:rPr>
          <w:rFonts w:hint="eastAsia" w:ascii="仿宋_GB2312" w:hAnsi="仿宋_GB2312" w:eastAsia="仿宋_GB2312" w:cs="仿宋_GB2312"/>
          <w:color w:val="auto"/>
          <w:sz w:val="28"/>
          <w:szCs w:val="28"/>
          <w:highlight w:val="none"/>
          <w:lang w:eastAsia="zh-CN"/>
        </w:rPr>
        <w:t>（原件、复印件）</w:t>
      </w:r>
      <w:r>
        <w:rPr>
          <w:rFonts w:hint="eastAsia" w:ascii="仿宋_GB2312" w:hAnsi="仿宋_GB2312" w:eastAsia="仿宋_GB2312" w:cs="仿宋_GB2312"/>
          <w:color w:val="auto"/>
          <w:sz w:val="28"/>
          <w:szCs w:val="28"/>
          <w:highlight w:val="none"/>
        </w:rPr>
        <w:t>、营业执照</w:t>
      </w:r>
      <w:r>
        <w:rPr>
          <w:rFonts w:hint="eastAsia" w:ascii="仿宋_GB2312" w:hAnsi="仿宋_GB2312" w:eastAsia="仿宋_GB2312" w:cs="仿宋_GB2312"/>
          <w:color w:val="auto"/>
          <w:sz w:val="28"/>
          <w:szCs w:val="28"/>
          <w:highlight w:val="none"/>
          <w:lang w:eastAsia="zh-CN"/>
        </w:rPr>
        <w:t>（原件、复印件）</w:t>
      </w:r>
      <w:r>
        <w:rPr>
          <w:rFonts w:hint="eastAsia" w:ascii="仿宋_GB2312" w:hAnsi="仿宋_GB2312" w:eastAsia="仿宋_GB2312" w:cs="仿宋_GB2312"/>
          <w:color w:val="auto"/>
          <w:sz w:val="28"/>
          <w:szCs w:val="28"/>
          <w:highlight w:val="none"/>
        </w:rPr>
        <w:t>、保证金缴款单回执</w:t>
      </w:r>
      <w:r>
        <w:rPr>
          <w:rFonts w:hint="eastAsia" w:ascii="仿宋_GB2312" w:hAnsi="仿宋_GB2312" w:eastAsia="仿宋_GB2312" w:cs="仿宋_GB2312"/>
          <w:color w:val="auto"/>
          <w:sz w:val="28"/>
          <w:szCs w:val="28"/>
          <w:highlight w:val="none"/>
          <w:lang w:eastAsia="zh-CN"/>
        </w:rPr>
        <w:t>、完税证明、</w:t>
      </w:r>
      <w:r>
        <w:rPr>
          <w:rFonts w:hint="eastAsia" w:ascii="仿宋_GB2312" w:hAnsi="仿宋_GB2312" w:eastAsia="仿宋_GB2312" w:cs="仿宋_GB2312"/>
          <w:color w:val="auto"/>
          <w:sz w:val="28"/>
          <w:szCs w:val="28"/>
          <w:highlight w:val="none"/>
        </w:rPr>
        <w:t>社会保障资金</w:t>
      </w:r>
      <w:r>
        <w:rPr>
          <w:rFonts w:hint="eastAsia" w:ascii="仿宋_GB2312" w:hAnsi="仿宋_GB2312" w:eastAsia="仿宋_GB2312" w:cs="仿宋_GB2312"/>
          <w:color w:val="auto"/>
          <w:sz w:val="28"/>
          <w:szCs w:val="28"/>
          <w:highlight w:val="none"/>
          <w:lang w:eastAsia="zh-CN"/>
        </w:rPr>
        <w:t>缴款记录</w:t>
      </w:r>
      <w:r>
        <w:rPr>
          <w:rFonts w:hint="eastAsia" w:ascii="仿宋_GB2312" w:hAnsi="仿宋_GB2312" w:eastAsia="仿宋_GB2312" w:cs="仿宋_GB2312"/>
          <w:color w:val="auto"/>
          <w:sz w:val="28"/>
          <w:szCs w:val="28"/>
          <w:highlight w:val="none"/>
        </w:rPr>
        <w:t>等资料到我</w:t>
      </w:r>
      <w:r>
        <w:rPr>
          <w:rFonts w:hint="eastAsia" w:ascii="仿宋_GB2312" w:hAnsi="仿宋_GB2312" w:eastAsia="仿宋_GB2312" w:cs="仿宋_GB2312"/>
          <w:color w:val="auto"/>
          <w:sz w:val="28"/>
          <w:szCs w:val="28"/>
          <w:highlight w:val="none"/>
          <w:lang w:eastAsia="zh-CN"/>
        </w:rPr>
        <w:t>社区</w:t>
      </w:r>
      <w:r>
        <w:rPr>
          <w:rFonts w:hint="eastAsia" w:ascii="仿宋_GB2312" w:hAnsi="仿宋_GB2312" w:eastAsia="仿宋_GB2312" w:cs="仿宋_GB2312"/>
          <w:color w:val="auto"/>
          <w:sz w:val="28"/>
          <w:szCs w:val="28"/>
          <w:highlight w:val="none"/>
        </w:rPr>
        <w:t>进行登记</w:t>
      </w:r>
      <w:r>
        <w:rPr>
          <w:rFonts w:hint="eastAsia" w:ascii="仿宋_GB2312" w:hAnsi="仿宋_GB2312" w:eastAsia="仿宋_GB2312" w:cs="仿宋_GB2312"/>
          <w:color w:val="auto"/>
          <w:sz w:val="28"/>
          <w:szCs w:val="28"/>
          <w:highlight w:val="none"/>
          <w:lang w:eastAsia="zh-CN"/>
        </w:rPr>
        <w:t>报名</w:t>
      </w:r>
      <w:r>
        <w:rPr>
          <w:rFonts w:hint="eastAsia" w:ascii="仿宋_GB2312" w:hAnsi="仿宋_GB2312" w:eastAsia="仿宋_GB2312" w:cs="仿宋_GB2312"/>
          <w:color w:val="auto"/>
          <w:sz w:val="28"/>
          <w:szCs w:val="28"/>
          <w:highlight w:val="none"/>
        </w:rPr>
        <w:t>，领取投标确认书参加投标。</w:t>
      </w:r>
      <w:r>
        <w:rPr>
          <w:rFonts w:hint="eastAsia" w:ascii="仿宋_GB2312" w:hAnsi="仿宋_GB2312" w:eastAsia="仿宋_GB2312" w:cs="仿宋_GB2312"/>
          <w:color w:val="auto"/>
          <w:sz w:val="28"/>
          <w:szCs w:val="28"/>
          <w:highlight w:val="none"/>
          <w:lang w:eastAsia="zh-CN"/>
        </w:rPr>
        <w:t>如代理人报名，则须提交委托代理书。</w:t>
      </w:r>
    </w:p>
    <w:p w14:paraId="005DF967">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w:t>
      </w:r>
      <w:r>
        <w:rPr>
          <w:rFonts w:hint="eastAsia" w:ascii="仿宋_GB2312" w:hAnsi="仿宋_GB2312" w:eastAsia="仿宋_GB2312" w:cs="仿宋_GB2312"/>
          <w:b w:val="0"/>
          <w:bCs w:val="0"/>
          <w:color w:val="auto"/>
          <w:sz w:val="28"/>
          <w:szCs w:val="28"/>
          <w:highlight w:val="none"/>
        </w:rPr>
        <w:t>招标人不组织现场踏</w:t>
      </w:r>
      <w:r>
        <w:rPr>
          <w:rFonts w:hint="eastAsia" w:ascii="仿宋_GB2312" w:hAnsi="仿宋_GB2312" w:eastAsia="仿宋_GB2312" w:cs="仿宋_GB2312"/>
          <w:b w:val="0"/>
          <w:bCs w:val="0"/>
          <w:color w:val="auto"/>
          <w:sz w:val="28"/>
          <w:szCs w:val="28"/>
          <w:highlight w:val="none"/>
          <w:lang w:val="en-US" w:eastAsia="zh-CN"/>
        </w:rPr>
        <w:t>勘</w:t>
      </w:r>
      <w:r>
        <w:rPr>
          <w:rFonts w:hint="eastAsia" w:ascii="仿宋_GB2312" w:hAnsi="仿宋_GB2312" w:eastAsia="仿宋_GB2312" w:cs="仿宋_GB2312"/>
          <w:b w:val="0"/>
          <w:bCs w:val="0"/>
          <w:color w:val="auto"/>
          <w:sz w:val="28"/>
          <w:szCs w:val="28"/>
          <w:highlight w:val="none"/>
        </w:rPr>
        <w:t>，投标人须自行对租赁物进行踏</w:t>
      </w:r>
      <w:r>
        <w:rPr>
          <w:rFonts w:hint="eastAsia" w:ascii="仿宋_GB2312" w:hAnsi="仿宋_GB2312" w:eastAsia="仿宋_GB2312" w:cs="仿宋_GB2312"/>
          <w:b w:val="0"/>
          <w:bCs w:val="0"/>
          <w:color w:val="auto"/>
          <w:sz w:val="28"/>
          <w:szCs w:val="28"/>
          <w:highlight w:val="none"/>
          <w:lang w:val="en-US" w:eastAsia="zh-CN"/>
        </w:rPr>
        <w:t>勘</w:t>
      </w:r>
      <w:r>
        <w:rPr>
          <w:rFonts w:hint="eastAsia" w:ascii="仿宋_GB2312" w:hAnsi="仿宋_GB2312" w:eastAsia="仿宋_GB2312" w:cs="仿宋_GB2312"/>
          <w:b w:val="0"/>
          <w:bCs w:val="0"/>
          <w:color w:val="auto"/>
          <w:sz w:val="28"/>
          <w:szCs w:val="28"/>
          <w:highlight w:val="none"/>
        </w:rPr>
        <w:t>，了解租赁物现状情况</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以土地现状交付使用</w:t>
      </w:r>
      <w:r>
        <w:rPr>
          <w:rFonts w:hint="eastAsia" w:ascii="仿宋_GB2312" w:hAnsi="仿宋_GB2312" w:eastAsia="仿宋_GB2312" w:cs="仿宋_GB2312"/>
          <w:b w:val="0"/>
          <w:bCs w:val="0"/>
          <w:color w:val="auto"/>
          <w:sz w:val="28"/>
          <w:szCs w:val="28"/>
          <w:highlight w:val="none"/>
        </w:rPr>
        <w:t>。</w:t>
      </w:r>
    </w:p>
    <w:p w14:paraId="44472492">
      <w:pPr>
        <w:spacing w:line="240" w:lineRule="auto"/>
        <w:ind w:firstLine="560" w:firstLineChars="200"/>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color w:val="auto"/>
          <w:sz w:val="28"/>
          <w:szCs w:val="28"/>
          <w:highlight w:val="none"/>
        </w:rPr>
        <w:t>4、</w:t>
      </w:r>
      <w:r>
        <w:rPr>
          <w:rFonts w:hint="eastAsia" w:ascii="仿宋_GB2312" w:hAnsi="仿宋_GB2312" w:eastAsia="仿宋_GB2312" w:cs="仿宋_GB2312"/>
          <w:b w:val="0"/>
          <w:bCs w:val="0"/>
          <w:color w:val="auto"/>
          <w:sz w:val="28"/>
          <w:szCs w:val="28"/>
          <w:highlight w:val="none"/>
        </w:rPr>
        <w:t>如项目用地在租赁期间涉及违法用地相关情况，承租方无条件服从处理，相关费用及责任由承租方承担，如承租方在整改期内未完成整改，我</w:t>
      </w:r>
      <w:r>
        <w:rPr>
          <w:rFonts w:hint="eastAsia" w:ascii="仿宋_GB2312" w:hAnsi="仿宋_GB2312" w:eastAsia="仿宋_GB2312" w:cs="仿宋_GB2312"/>
          <w:b w:val="0"/>
          <w:bCs w:val="0"/>
          <w:color w:val="auto"/>
          <w:sz w:val="28"/>
          <w:szCs w:val="28"/>
          <w:highlight w:val="none"/>
          <w:lang w:eastAsia="zh-CN"/>
        </w:rPr>
        <w:t>社区</w:t>
      </w:r>
      <w:r>
        <w:rPr>
          <w:rFonts w:hint="eastAsia" w:ascii="仿宋_GB2312" w:hAnsi="仿宋_GB2312" w:eastAsia="仿宋_GB2312" w:cs="仿宋_GB2312"/>
          <w:b w:val="0"/>
          <w:bCs w:val="0"/>
          <w:color w:val="auto"/>
          <w:sz w:val="28"/>
          <w:szCs w:val="28"/>
          <w:highlight w:val="none"/>
        </w:rPr>
        <w:t>有权使用承租方所缴纳的按金用于处理该地块的违法用地所产生的费用。</w:t>
      </w:r>
    </w:p>
    <w:p w14:paraId="4D99CEBC">
      <w:pPr>
        <w:spacing w:line="240" w:lineRule="auto"/>
        <w:ind w:firstLine="562" w:firstLineChars="20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五、投标：</w:t>
      </w:r>
    </w:p>
    <w:p w14:paraId="4CFE3CB5">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1、招投标方式和评标办法：采取现场明标出价方式竞投，出价最高且高于底价者为中标单位。</w:t>
      </w:r>
    </w:p>
    <w:p w14:paraId="062345AC">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2、第一次竞价可平价，之后每次竞价增加幅度不少于</w:t>
      </w:r>
      <w:r>
        <w:rPr>
          <w:rFonts w:hint="eastAsia" w:ascii="仿宋_GB2312" w:hAnsi="仿宋_GB2312" w:eastAsia="仿宋_GB2312" w:cs="仿宋_GB2312"/>
          <w:color w:val="auto"/>
          <w:sz w:val="28"/>
          <w:szCs w:val="28"/>
          <w:highlight w:val="none"/>
          <w:lang w:val="en-US" w:eastAsia="zh-CN"/>
        </w:rPr>
        <w:t>底价的10%</w:t>
      </w:r>
      <w:r>
        <w:rPr>
          <w:rFonts w:hint="eastAsia" w:ascii="仿宋_GB2312" w:hAnsi="仿宋_GB2312" w:eastAsia="仿宋_GB2312" w:cs="仿宋_GB2312"/>
          <w:color w:val="auto"/>
          <w:sz w:val="28"/>
          <w:szCs w:val="28"/>
          <w:highlight w:val="none"/>
        </w:rPr>
        <w:t>。</w:t>
      </w:r>
    </w:p>
    <w:p w14:paraId="71FFE999">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3、如参与竞投者本人无法到场、则代理人需携带委托书和身份证复印件（需加盖公章）到场代理参与竞标。</w:t>
      </w:r>
    </w:p>
    <w:p w14:paraId="1340290B">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4、不限参加竞投单位数量，如只有一家单位</w:t>
      </w:r>
      <w:r>
        <w:rPr>
          <w:rFonts w:hint="eastAsia" w:ascii="仿宋_GB2312" w:hAnsi="仿宋_GB2312" w:eastAsia="仿宋_GB2312" w:cs="仿宋_GB2312"/>
          <w:color w:val="auto"/>
          <w:sz w:val="28"/>
          <w:szCs w:val="28"/>
          <w:highlight w:val="none"/>
          <w:lang w:eastAsia="zh-CN"/>
        </w:rPr>
        <w:t>报名</w:t>
      </w:r>
      <w:r>
        <w:rPr>
          <w:rFonts w:hint="eastAsia" w:ascii="仿宋_GB2312" w:hAnsi="仿宋_GB2312" w:eastAsia="仿宋_GB2312" w:cs="仿宋_GB2312"/>
          <w:color w:val="auto"/>
          <w:sz w:val="28"/>
          <w:szCs w:val="28"/>
          <w:highlight w:val="none"/>
        </w:rPr>
        <w:t>竞</w:t>
      </w:r>
      <w:r>
        <w:rPr>
          <w:rFonts w:hint="eastAsia" w:ascii="仿宋_GB2312" w:hAnsi="仿宋_GB2312" w:eastAsia="仿宋_GB2312" w:cs="仿宋_GB2312"/>
          <w:color w:val="auto"/>
          <w:sz w:val="28"/>
          <w:szCs w:val="28"/>
          <w:highlight w:val="none"/>
          <w:lang w:eastAsia="zh-CN"/>
        </w:rPr>
        <w:t>投</w:t>
      </w:r>
      <w:r>
        <w:rPr>
          <w:rFonts w:hint="eastAsia" w:ascii="仿宋_GB2312" w:hAnsi="仿宋_GB2312" w:eastAsia="仿宋_GB2312" w:cs="仿宋_GB2312"/>
          <w:color w:val="auto"/>
          <w:sz w:val="28"/>
          <w:szCs w:val="28"/>
          <w:highlight w:val="none"/>
        </w:rPr>
        <w:t>也正常开标。</w:t>
      </w:r>
    </w:p>
    <w:p w14:paraId="02259BFD">
      <w:pPr>
        <w:spacing w:line="240" w:lineRule="auto"/>
        <w:ind w:firstLine="562" w:firstLineChars="200"/>
        <w:rPr>
          <w:rFonts w:hint="eastAsia" w:ascii="黑体" w:hAnsi="黑体" w:eastAsia="黑体" w:cs="黑体"/>
          <w:b/>
          <w:bCs/>
          <w:color w:val="auto"/>
          <w:sz w:val="28"/>
          <w:szCs w:val="28"/>
          <w:highlight w:val="none"/>
        </w:rPr>
      </w:pPr>
    </w:p>
    <w:p w14:paraId="25B5E5C5">
      <w:pPr>
        <w:spacing w:line="240" w:lineRule="auto"/>
        <w:ind w:firstLine="562" w:firstLineChars="20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六、招投标时间安排：</w:t>
      </w:r>
    </w:p>
    <w:p w14:paraId="4B8DB206">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竞标报名截止：</w:t>
      </w:r>
      <w:r>
        <w:rPr>
          <w:rFonts w:hint="eastAsia" w:ascii="仿宋_GB2312" w:hAnsi="仿宋_GB2312" w:eastAsia="仿宋_GB2312" w:cs="仿宋_GB2312"/>
          <w:i w:val="0"/>
          <w:caps w:val="0"/>
          <w:color w:val="auto"/>
          <w:spacing w:val="0"/>
          <w:sz w:val="28"/>
          <w:szCs w:val="28"/>
          <w:highlight w:val="none"/>
          <w:lang w:val="en-US" w:eastAsia="zh-CN"/>
        </w:rPr>
        <w:t>2025</w:t>
      </w:r>
      <w:r>
        <w:rPr>
          <w:rFonts w:hint="eastAsia" w:ascii="仿宋_GB2312" w:hAnsi="仿宋_GB2312" w:eastAsia="仿宋_GB2312" w:cs="仿宋_GB2312"/>
          <w:i w:val="0"/>
          <w:caps w:val="0"/>
          <w:color w:val="auto"/>
          <w:spacing w:val="0"/>
          <w:sz w:val="28"/>
          <w:szCs w:val="28"/>
          <w:highlight w:val="none"/>
        </w:rPr>
        <w:t>年</w:t>
      </w:r>
      <w:r>
        <w:rPr>
          <w:rFonts w:hint="eastAsia" w:ascii="仿宋_GB2312" w:hAnsi="仿宋_GB2312" w:eastAsia="仿宋_GB2312" w:cs="仿宋_GB2312"/>
          <w:i w:val="0"/>
          <w:caps w:val="0"/>
          <w:color w:val="auto"/>
          <w:spacing w:val="0"/>
          <w:sz w:val="28"/>
          <w:szCs w:val="28"/>
          <w:highlight w:val="none"/>
          <w:lang w:val="en-US" w:eastAsia="zh-CN"/>
        </w:rPr>
        <w:t>4</w:t>
      </w:r>
      <w:r>
        <w:rPr>
          <w:rFonts w:hint="eastAsia" w:ascii="仿宋_GB2312" w:hAnsi="仿宋_GB2312" w:eastAsia="仿宋_GB2312" w:cs="仿宋_GB2312"/>
          <w:i w:val="0"/>
          <w:caps w:val="0"/>
          <w:color w:val="auto"/>
          <w:spacing w:val="0"/>
          <w:sz w:val="28"/>
          <w:szCs w:val="28"/>
          <w:highlight w:val="none"/>
        </w:rPr>
        <w:t>月</w:t>
      </w:r>
      <w:r>
        <w:rPr>
          <w:rFonts w:hint="eastAsia" w:ascii="仿宋_GB2312" w:hAnsi="仿宋_GB2312" w:eastAsia="仿宋_GB2312" w:cs="仿宋_GB2312"/>
          <w:i w:val="0"/>
          <w:caps w:val="0"/>
          <w:color w:val="auto"/>
          <w:spacing w:val="0"/>
          <w:sz w:val="28"/>
          <w:szCs w:val="28"/>
          <w:highlight w:val="none"/>
          <w:lang w:val="en-US" w:eastAsia="zh-CN"/>
        </w:rPr>
        <w:t>28</w:t>
      </w:r>
      <w:r>
        <w:rPr>
          <w:rFonts w:hint="eastAsia" w:ascii="仿宋_GB2312" w:hAnsi="仿宋_GB2312" w:eastAsia="仿宋_GB2312" w:cs="仿宋_GB2312"/>
          <w:color w:val="auto"/>
          <w:sz w:val="28"/>
          <w:szCs w:val="28"/>
          <w:highlight w:val="none"/>
        </w:rPr>
        <w:t>日1</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00；</w:t>
      </w:r>
    </w:p>
    <w:p w14:paraId="716F77D1">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公开竞标日期：</w:t>
      </w:r>
      <w:r>
        <w:rPr>
          <w:rFonts w:hint="eastAsia" w:ascii="仿宋_GB2312" w:hAnsi="仿宋_GB2312" w:eastAsia="仿宋_GB2312" w:cs="仿宋_GB2312"/>
          <w:color w:val="auto"/>
          <w:sz w:val="28"/>
          <w:szCs w:val="28"/>
          <w:highlight w:val="none"/>
          <w:lang w:eastAsia="zh-CN"/>
        </w:rPr>
        <w:t>另行通知</w:t>
      </w:r>
      <w:r>
        <w:rPr>
          <w:rFonts w:hint="eastAsia" w:ascii="仿宋_GB2312" w:hAnsi="仿宋_GB2312" w:eastAsia="仿宋_GB2312" w:cs="仿宋_GB2312"/>
          <w:color w:val="auto"/>
          <w:sz w:val="28"/>
          <w:szCs w:val="28"/>
          <w:highlight w:val="none"/>
        </w:rPr>
        <w:t>；</w:t>
      </w:r>
    </w:p>
    <w:p w14:paraId="41C57A30">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公开竞标地址：东凤镇凤翔大道13号</w:t>
      </w:r>
      <w:r>
        <w:rPr>
          <w:rFonts w:hint="eastAsia" w:ascii="仿宋_GB2312" w:hAnsi="仿宋_GB2312" w:eastAsia="仿宋_GB2312" w:cs="仿宋_GB2312"/>
          <w:color w:val="auto"/>
          <w:sz w:val="28"/>
          <w:szCs w:val="28"/>
          <w:highlight w:val="none"/>
          <w:lang w:eastAsia="zh-CN"/>
        </w:rPr>
        <w:t>平安法治办</w:t>
      </w:r>
      <w:r>
        <w:rPr>
          <w:rFonts w:hint="eastAsia" w:ascii="仿宋_GB2312" w:hAnsi="仿宋_GB2312" w:eastAsia="仿宋_GB2312" w:cs="仿宋_GB2312"/>
          <w:color w:val="auto"/>
          <w:sz w:val="28"/>
          <w:szCs w:val="28"/>
          <w:highlight w:val="none"/>
        </w:rPr>
        <w:t>五楼开标室</w:t>
      </w:r>
      <w:r>
        <w:rPr>
          <w:rFonts w:hint="eastAsia" w:ascii="仿宋_GB2312" w:hAnsi="仿宋_GB2312" w:eastAsia="仿宋_GB2312" w:cs="仿宋_GB2312"/>
          <w:color w:val="auto"/>
          <w:sz w:val="28"/>
          <w:szCs w:val="28"/>
          <w:highlight w:val="none"/>
          <w:lang w:eastAsia="zh-CN"/>
        </w:rPr>
        <w:t>（开标时间、</w:t>
      </w:r>
      <w:r>
        <w:rPr>
          <w:rFonts w:hint="eastAsia" w:ascii="仿宋_GB2312" w:hAnsi="仿宋_GB2312" w:eastAsia="仿宋_GB2312" w:cs="仿宋_GB2312"/>
          <w:color w:val="auto"/>
          <w:sz w:val="28"/>
          <w:szCs w:val="28"/>
          <w:highlight w:val="none"/>
          <w:lang w:val="en-US" w:eastAsia="zh-CN"/>
        </w:rPr>
        <w:t>地点有变化将会电话通知）</w:t>
      </w:r>
      <w:r>
        <w:rPr>
          <w:rFonts w:hint="eastAsia" w:ascii="仿宋_GB2312" w:hAnsi="仿宋_GB2312" w:eastAsia="仿宋_GB2312" w:cs="仿宋_GB2312"/>
          <w:color w:val="auto"/>
          <w:sz w:val="28"/>
          <w:szCs w:val="28"/>
          <w:highlight w:val="none"/>
        </w:rPr>
        <w:t>；</w:t>
      </w:r>
    </w:p>
    <w:p w14:paraId="2818F78F">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竞标者迟到10分钟以上作弃权处理；</w:t>
      </w:r>
      <w:bookmarkStart w:id="0" w:name="_GoBack"/>
      <w:bookmarkEnd w:id="0"/>
    </w:p>
    <w:p w14:paraId="7166BB5E">
      <w:pPr>
        <w:spacing w:line="240" w:lineRule="auto"/>
        <w:ind w:firstLine="562" w:firstLineChars="200"/>
        <w:rPr>
          <w:rFonts w:hint="eastAsia" w:ascii="黑体" w:hAnsi="黑体" w:eastAsia="黑体" w:cs="黑体"/>
          <w:b/>
          <w:bCs/>
          <w:color w:val="auto"/>
          <w:sz w:val="28"/>
          <w:szCs w:val="28"/>
          <w:highlight w:val="none"/>
        </w:rPr>
      </w:pPr>
      <w:r>
        <w:rPr>
          <w:rFonts w:hint="eastAsia" w:ascii="黑体" w:hAnsi="黑体" w:eastAsia="黑体" w:cs="黑体"/>
          <w:b/>
          <w:bCs/>
          <w:color w:val="auto"/>
          <w:sz w:val="28"/>
          <w:szCs w:val="28"/>
          <w:highlight w:val="none"/>
        </w:rPr>
        <w:t>七、其他：</w:t>
      </w:r>
    </w:p>
    <w:p w14:paraId="2E3AA34F">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1、中标单位在中标通知书发出之日起三十日内必须缴清合同履约保证金</w:t>
      </w:r>
      <w:r>
        <w:rPr>
          <w:rFonts w:hint="eastAsia" w:ascii="仿宋_GB2312" w:hAnsi="仿宋_GB2312" w:eastAsia="仿宋_GB2312" w:cs="仿宋_GB2312"/>
          <w:color w:val="auto"/>
          <w:sz w:val="28"/>
          <w:szCs w:val="28"/>
          <w:highlight w:val="none"/>
          <w:lang w:eastAsia="zh-CN"/>
        </w:rPr>
        <w:t>（投标保证金自动转为履约保证金）</w:t>
      </w:r>
      <w:r>
        <w:rPr>
          <w:rFonts w:hint="eastAsia" w:ascii="仿宋_GB2312" w:hAnsi="仿宋_GB2312" w:eastAsia="仿宋_GB2312" w:cs="仿宋_GB2312"/>
          <w:color w:val="auto"/>
          <w:sz w:val="28"/>
          <w:szCs w:val="28"/>
          <w:highlight w:val="none"/>
        </w:rPr>
        <w:t>和签订合同，逾期不签订合同，则视作弃标处理，并没收投标保证金。</w:t>
      </w:r>
    </w:p>
    <w:p w14:paraId="657302EE">
      <w:pPr>
        <w:spacing w:line="240" w:lineRule="auto"/>
        <w:ind w:firstLine="560" w:firstLineChars="200"/>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eastAsia="zh-CN"/>
        </w:rPr>
        <w:t>中标单位需承担中标项目第三方资产评估费用</w:t>
      </w:r>
      <w:r>
        <w:rPr>
          <w:rFonts w:hint="eastAsia" w:ascii="仿宋_GB2312" w:hAnsi="仿宋_GB2312" w:eastAsia="仿宋_GB2312" w:cs="仿宋_GB2312"/>
          <w:color w:val="auto"/>
          <w:sz w:val="28"/>
          <w:szCs w:val="28"/>
          <w:highlight w:val="none"/>
          <w:lang w:val="en-US" w:eastAsia="zh-CN"/>
        </w:rPr>
        <w:t>900元，</w:t>
      </w:r>
      <w:r>
        <w:rPr>
          <w:rFonts w:hint="eastAsia" w:ascii="仿宋_GB2312" w:hAnsi="仿宋_GB2312" w:eastAsia="仿宋_GB2312" w:cs="仿宋_GB2312"/>
          <w:color w:val="auto"/>
          <w:sz w:val="28"/>
          <w:szCs w:val="28"/>
          <w:highlight w:val="none"/>
          <w:lang w:eastAsia="zh-CN"/>
        </w:rPr>
        <w:t>中标单位</w:t>
      </w:r>
      <w:r>
        <w:rPr>
          <w:rFonts w:hint="eastAsia" w:ascii="仿宋_GB2312" w:hAnsi="仿宋_GB2312" w:eastAsia="仿宋_GB2312" w:cs="仿宋_GB2312"/>
          <w:color w:val="auto"/>
          <w:sz w:val="28"/>
          <w:szCs w:val="28"/>
          <w:highlight w:val="none"/>
          <w:lang w:val="en-US" w:eastAsia="zh-CN"/>
        </w:rPr>
        <w:t>直接与评估公社区结算该笔评估费用。</w:t>
      </w:r>
    </w:p>
    <w:p w14:paraId="1327606F">
      <w:pPr>
        <w:spacing w:line="240" w:lineRule="auto"/>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3、其他租赁条款于租赁合同中约定。</w:t>
      </w:r>
    </w:p>
    <w:p w14:paraId="64CE5B2C">
      <w:pPr>
        <w:spacing w:line="24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、此租赁方案最终解释权归我</w:t>
      </w:r>
      <w:r>
        <w:rPr>
          <w:rFonts w:hint="eastAsia" w:ascii="仿宋_GB2312" w:hAnsi="仿宋_GB2312" w:eastAsia="仿宋_GB2312" w:cs="仿宋_GB2312"/>
          <w:color w:val="auto"/>
          <w:sz w:val="28"/>
          <w:szCs w:val="28"/>
          <w:highlight w:val="none"/>
          <w:lang w:eastAsia="zh-CN"/>
        </w:rPr>
        <w:t>社区</w:t>
      </w:r>
      <w:r>
        <w:rPr>
          <w:rFonts w:hint="eastAsia" w:ascii="仿宋_GB2312" w:hAnsi="仿宋_GB2312" w:eastAsia="仿宋_GB2312" w:cs="仿宋_GB2312"/>
          <w:color w:val="auto"/>
          <w:sz w:val="28"/>
          <w:szCs w:val="28"/>
          <w:highlight w:val="none"/>
        </w:rPr>
        <w:t>。</w:t>
      </w:r>
    </w:p>
    <w:p w14:paraId="7E5D9BCF">
      <w:pPr>
        <w:spacing w:line="240" w:lineRule="auto"/>
        <w:ind w:firstLine="560" w:firstLineChars="200"/>
        <w:rPr>
          <w:rFonts w:hint="eastAsia" w:ascii="仿宋_GB2312" w:hAnsi="仿宋_GB2312" w:eastAsia="仿宋_GB2312" w:cs="仿宋_GB2312"/>
          <w:color w:val="auto"/>
          <w:sz w:val="28"/>
          <w:szCs w:val="28"/>
          <w:highlight w:val="none"/>
        </w:rPr>
      </w:pPr>
    </w:p>
    <w:p w14:paraId="173BDF36">
      <w:pPr>
        <w:spacing w:line="240" w:lineRule="auto"/>
        <w:ind w:firstLine="560" w:firstLineChars="200"/>
        <w:jc w:val="right"/>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 xml:space="preserve">                      中山市东凤镇</w:t>
      </w:r>
      <w:r>
        <w:rPr>
          <w:rFonts w:hint="eastAsia" w:ascii="仿宋_GB2312" w:hAnsi="仿宋_GB2312" w:eastAsia="仿宋_GB2312" w:cs="仿宋_GB2312"/>
          <w:color w:val="auto"/>
          <w:sz w:val="28"/>
          <w:szCs w:val="28"/>
          <w:highlight w:val="none"/>
          <w:lang w:eastAsia="zh-CN"/>
        </w:rPr>
        <w:t>东海社区居民委员会</w:t>
      </w:r>
    </w:p>
    <w:p w14:paraId="4C5CC8D1">
      <w:pPr>
        <w:spacing w:line="240" w:lineRule="auto"/>
        <w:ind w:firstLine="560" w:firstLineChars="200"/>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i w:val="0"/>
          <w:caps w:val="0"/>
          <w:color w:val="auto"/>
          <w:spacing w:val="0"/>
          <w:sz w:val="28"/>
          <w:szCs w:val="28"/>
          <w:highlight w:val="none"/>
          <w:lang w:val="en-US" w:eastAsia="zh-CN"/>
        </w:rPr>
        <w:t>2025</w:t>
      </w:r>
      <w:r>
        <w:rPr>
          <w:rFonts w:hint="eastAsia" w:ascii="仿宋_GB2312" w:hAnsi="仿宋_GB2312" w:eastAsia="仿宋_GB2312" w:cs="仿宋_GB2312"/>
          <w:i w:val="0"/>
          <w:caps w:val="0"/>
          <w:color w:val="auto"/>
          <w:spacing w:val="0"/>
          <w:sz w:val="28"/>
          <w:szCs w:val="28"/>
          <w:highlight w:val="none"/>
        </w:rPr>
        <w:t>年</w:t>
      </w:r>
      <w:r>
        <w:rPr>
          <w:rFonts w:hint="eastAsia" w:ascii="仿宋_GB2312" w:hAnsi="仿宋_GB2312" w:eastAsia="仿宋_GB2312" w:cs="仿宋_GB2312"/>
          <w:i w:val="0"/>
          <w:caps w:val="0"/>
          <w:color w:val="auto"/>
          <w:spacing w:val="0"/>
          <w:sz w:val="28"/>
          <w:szCs w:val="28"/>
          <w:highlight w:val="none"/>
          <w:lang w:val="en-US" w:eastAsia="zh-CN"/>
        </w:rPr>
        <w:t>4</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eastAsia="仿宋_GB2312" w:cs="仿宋_GB2312"/>
          <w:color w:val="auto"/>
          <w:sz w:val="28"/>
          <w:szCs w:val="28"/>
          <w:highlight w:val="none"/>
        </w:rPr>
        <w:t>日</w:t>
      </w:r>
    </w:p>
    <w:p w14:paraId="63E9EAD2">
      <w:pPr>
        <w:spacing w:line="240" w:lineRule="auto"/>
        <w:ind w:firstLine="0" w:firstLineChars="0"/>
        <w:rPr>
          <w:rFonts w:hint="eastAsia" w:ascii="仿宋_GB2312" w:hAnsi="仿宋_GB2312" w:eastAsia="仿宋_GB2312" w:cs="仿宋_GB2312"/>
          <w:bCs w:val="0"/>
          <w:color w:val="auto"/>
          <w:sz w:val="28"/>
          <w:szCs w:val="28"/>
          <w:highlight w:val="none"/>
          <w:lang w:eastAsia="zh-CN"/>
        </w:rPr>
      </w:pPr>
    </w:p>
    <w:p w14:paraId="636C2F8D">
      <w:pPr>
        <w:spacing w:line="240" w:lineRule="auto"/>
        <w:ind w:firstLine="0" w:firstLineChars="0"/>
        <w:rPr>
          <w:rFonts w:hint="eastAsia" w:ascii="仿宋_GB2312" w:hAnsi="仿宋_GB2312" w:eastAsia="仿宋_GB2312" w:cs="仿宋_GB2312"/>
          <w:bCs w:val="0"/>
          <w:color w:val="auto"/>
          <w:sz w:val="28"/>
          <w:szCs w:val="28"/>
          <w:highlight w:val="none"/>
          <w:lang w:eastAsia="zh-CN"/>
        </w:rPr>
      </w:pPr>
    </w:p>
    <w:p w14:paraId="1A116AAF">
      <w:pPr>
        <w:spacing w:line="240" w:lineRule="auto"/>
        <w:ind w:firstLine="560" w:firstLineChars="200"/>
        <w:rPr>
          <w:color w:val="auto"/>
          <w:sz w:val="28"/>
          <w:szCs w:val="28"/>
          <w:highlight w:val="none"/>
        </w:rPr>
      </w:pPr>
      <w:r>
        <w:rPr>
          <w:rFonts w:hint="eastAsia" w:ascii="仿宋_GB2312" w:hAnsi="仿宋_GB2312" w:eastAsia="仿宋_GB2312" w:cs="仿宋_GB2312"/>
          <w:bCs w:val="0"/>
          <w:color w:val="auto"/>
          <w:sz w:val="28"/>
          <w:szCs w:val="28"/>
          <w:highlight w:val="none"/>
          <w:lang w:eastAsia="zh-CN"/>
        </w:rPr>
        <w:t>参加投标人员签名：</w:t>
      </w:r>
    </w:p>
    <w:sectPr>
      <w:footerReference r:id="rId3" w:type="default"/>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95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E239D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E239D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OGM3MzYzMDZkZmZkNmQzNWI2YWU4NThiOTRjOTEifQ=="/>
  </w:docVars>
  <w:rsids>
    <w:rsidRoot w:val="2CA4386C"/>
    <w:rsid w:val="013505BA"/>
    <w:rsid w:val="02382E6E"/>
    <w:rsid w:val="02B64B93"/>
    <w:rsid w:val="03AD42CA"/>
    <w:rsid w:val="05D71325"/>
    <w:rsid w:val="07A8744A"/>
    <w:rsid w:val="098807FA"/>
    <w:rsid w:val="09FA11E0"/>
    <w:rsid w:val="0ACB4229"/>
    <w:rsid w:val="0B660046"/>
    <w:rsid w:val="0B71740F"/>
    <w:rsid w:val="10C167EB"/>
    <w:rsid w:val="11621375"/>
    <w:rsid w:val="1313164F"/>
    <w:rsid w:val="136E74B2"/>
    <w:rsid w:val="14A44A77"/>
    <w:rsid w:val="14E45836"/>
    <w:rsid w:val="15AF20DA"/>
    <w:rsid w:val="15FA5779"/>
    <w:rsid w:val="17A1197A"/>
    <w:rsid w:val="18E74005"/>
    <w:rsid w:val="1B434989"/>
    <w:rsid w:val="1BB75C39"/>
    <w:rsid w:val="1BD91B92"/>
    <w:rsid w:val="1D2F246D"/>
    <w:rsid w:val="1E2C7FF6"/>
    <w:rsid w:val="1FA97D98"/>
    <w:rsid w:val="20A42F11"/>
    <w:rsid w:val="218A582A"/>
    <w:rsid w:val="21F03B95"/>
    <w:rsid w:val="2307018B"/>
    <w:rsid w:val="2454465C"/>
    <w:rsid w:val="253B58D8"/>
    <w:rsid w:val="2548239D"/>
    <w:rsid w:val="25BC6827"/>
    <w:rsid w:val="273066BC"/>
    <w:rsid w:val="27FE2084"/>
    <w:rsid w:val="29716BEA"/>
    <w:rsid w:val="29D108D4"/>
    <w:rsid w:val="2AC860B7"/>
    <w:rsid w:val="2CA4386C"/>
    <w:rsid w:val="2D9B6278"/>
    <w:rsid w:val="2DBE7325"/>
    <w:rsid w:val="2DF9676E"/>
    <w:rsid w:val="2E882F5E"/>
    <w:rsid w:val="2F76684C"/>
    <w:rsid w:val="319C7392"/>
    <w:rsid w:val="347276AE"/>
    <w:rsid w:val="36A2264C"/>
    <w:rsid w:val="38497762"/>
    <w:rsid w:val="3D8454D5"/>
    <w:rsid w:val="3E5C54C3"/>
    <w:rsid w:val="3E8174A1"/>
    <w:rsid w:val="3F1062FF"/>
    <w:rsid w:val="412F5689"/>
    <w:rsid w:val="42BF4549"/>
    <w:rsid w:val="42D70FD5"/>
    <w:rsid w:val="441F1F30"/>
    <w:rsid w:val="45BC54BB"/>
    <w:rsid w:val="47470079"/>
    <w:rsid w:val="49BB5773"/>
    <w:rsid w:val="4E593C28"/>
    <w:rsid w:val="4E5B5471"/>
    <w:rsid w:val="4F375809"/>
    <w:rsid w:val="508F720D"/>
    <w:rsid w:val="5179040F"/>
    <w:rsid w:val="53277834"/>
    <w:rsid w:val="53524611"/>
    <w:rsid w:val="557E0ABE"/>
    <w:rsid w:val="59520889"/>
    <w:rsid w:val="5A1225D4"/>
    <w:rsid w:val="5A613B84"/>
    <w:rsid w:val="5D150161"/>
    <w:rsid w:val="5F455CC4"/>
    <w:rsid w:val="5FB149DD"/>
    <w:rsid w:val="61F47390"/>
    <w:rsid w:val="634E06D7"/>
    <w:rsid w:val="65953340"/>
    <w:rsid w:val="660802C2"/>
    <w:rsid w:val="66EA5D84"/>
    <w:rsid w:val="670C04C4"/>
    <w:rsid w:val="67746B3D"/>
    <w:rsid w:val="67A86A9A"/>
    <w:rsid w:val="682B3331"/>
    <w:rsid w:val="68B0273F"/>
    <w:rsid w:val="693F2682"/>
    <w:rsid w:val="69E61E22"/>
    <w:rsid w:val="6CE453A5"/>
    <w:rsid w:val="6DFB2D51"/>
    <w:rsid w:val="6E8322E3"/>
    <w:rsid w:val="6ED756FD"/>
    <w:rsid w:val="72196775"/>
    <w:rsid w:val="721D760F"/>
    <w:rsid w:val="72A055C4"/>
    <w:rsid w:val="749F757D"/>
    <w:rsid w:val="75980657"/>
    <w:rsid w:val="77FB5A76"/>
    <w:rsid w:val="78420C7F"/>
    <w:rsid w:val="78867117"/>
    <w:rsid w:val="798A3F17"/>
    <w:rsid w:val="7C305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1626</Words>
  <Characters>1709</Characters>
  <Lines>0</Lines>
  <Paragraphs>0</Paragraphs>
  <TotalTime>2</TotalTime>
  <ScaleCrop>false</ScaleCrop>
  <LinksUpToDate>false</LinksUpToDate>
  <CharactersWithSpaces>1738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2023-11-15T03:21:00Z</dcterms:created>
  <dc:creator>翼~莨</dc:creator>
  <cp:lastModifiedBy>赵健成</cp:lastModifiedBy>
  <cp:lastPrinted>2024-10-24T03:10:00Z</cp:lastPrinted>
  <dcterms:modified xsi:type="dcterms:W3CDTF">2025-04-24T02:37:17Z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6E6064309ED84678A0E4FF4AEBB01648_13</vt:lpwstr>
  </property>
</Properties>
</file>