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442000105-2024-00431</w:t>
      </w:r>
    </w:p>
    <w:p>
      <w:pPr>
        <w:pStyle w:val="null3"/>
        <w:jc w:val="center"/>
        <w:outlineLvl w:val="3"/>
      </w:pPr>
      <w:r>
        <w:rPr>
          <w:sz w:val="24"/>
          <w:b/>
        </w:rPr>
        <w:t>采购项目编号：</w:t>
      </w:r>
      <w:r>
        <w:rPr>
          <w:sz w:val="24"/>
          <w:b/>
        </w:rPr>
        <w:t>ZSCD202410GK091</w:t>
      </w:r>
    </w:p>
    <w:p>
      <w:pPr>
        <w:pStyle w:val="null3"/>
        <w:jc w:val="center"/>
        <w:outlineLvl w:val="3"/>
      </w:pPr>
      <w:r>
        <w:rPr>
          <w:sz w:val="24"/>
          <w:b/>
        </w:rPr>
        <w:t>项目名称：</w:t>
      </w:r>
      <w:r>
        <w:rPr>
          <w:sz w:val="24"/>
          <w:b/>
        </w:rPr>
        <w:t>古镇公安分局2024-2027年度政务信息化项目（警务通项目）</w:t>
      </w:r>
    </w:p>
    <w:p>
      <w:pPr>
        <w:pStyle w:val="null3"/>
        <w:jc w:val="center"/>
        <w:outlineLvl w:val="3"/>
      </w:pPr>
      <w:r>
        <w:rPr>
          <w:sz w:val="24"/>
          <w:b/>
        </w:rPr>
        <w:t>采购人：</w:t>
      </w:r>
      <w:r>
        <w:rPr>
          <w:sz w:val="24"/>
          <w:b/>
        </w:rPr>
        <w:t>中山市公安局古镇分局</w:t>
      </w:r>
    </w:p>
    <w:p>
      <w:pPr>
        <w:pStyle w:val="null3"/>
        <w:jc w:val="center"/>
        <w:outlineLvl w:val="3"/>
      </w:pPr>
      <w:r>
        <w:rPr>
          <w:sz w:val="24"/>
          <w:b/>
        </w:rPr>
        <w:t>采购代理机构：</w:t>
      </w:r>
      <w:r>
        <w:rPr>
          <w:sz w:val="24"/>
          <w:b/>
        </w:rPr>
        <w:t>中山市畅达工程管理有限公司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中山市畅达工程管理有限公司</w:t>
      </w:r>
      <w:r>
        <w:rPr/>
        <w:t>受</w:t>
      </w:r>
      <w:r>
        <w:rPr/>
        <w:t>中山市公安局古镇分局</w:t>
      </w:r>
      <w:r>
        <w:rPr/>
        <w:t>的委托，采用</w:t>
      </w:r>
      <w:r>
        <w:rPr/>
        <w:t>公开招标</w:t>
      </w:r>
      <w:r>
        <w:rPr/>
        <w:t>方式组织采购</w:t>
      </w:r>
      <w:r>
        <w:rPr/>
        <w:t>古镇公安分局2024-2027年度政务信息化项目（警务通项目）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古镇公安分局2024-2027年度政务信息化项目（警务通项目）</w:t>
      </w:r>
    </w:p>
    <w:p>
      <w:pPr>
        <w:pStyle w:val="null3"/>
        <w:ind w:firstLine="480"/>
      </w:pPr>
      <w:r>
        <w:rPr/>
        <w:t>采购计划编号：</w:t>
      </w:r>
      <w:r>
        <w:rPr/>
        <w:t>442000105-2024-00431</w:t>
      </w:r>
    </w:p>
    <w:p>
      <w:pPr>
        <w:pStyle w:val="null3"/>
        <w:ind w:firstLine="480"/>
      </w:pPr>
      <w:r>
        <w:rPr/>
        <w:t>采购项目编号：</w:t>
      </w:r>
      <w:r>
        <w:rPr/>
        <w:t>ZSCD202410GK091</w:t>
      </w:r>
    </w:p>
    <w:p>
      <w:pPr>
        <w:pStyle w:val="null3"/>
        <w:ind w:firstLine="480"/>
      </w:pPr>
      <w:r>
        <w:rPr/>
        <w:t>采购方式：</w:t>
      </w:r>
      <w:r>
        <w:rPr/>
        <w:t>公开招标</w:t>
      </w:r>
    </w:p>
    <w:p>
      <w:pPr>
        <w:pStyle w:val="null3"/>
        <w:ind w:firstLine="480"/>
      </w:pPr>
      <w:r>
        <w:rPr/>
        <w:t>预算金额：</w:t>
      </w:r>
      <w:r>
        <w:rPr/>
        <w:t>1,491,840.00</w:t>
      </w:r>
      <w:r>
        <w:rPr/>
        <w:t>元</w:t>
      </w:r>
    </w:p>
    <w:p>
      <w:pPr>
        <w:pStyle w:val="null3"/>
        <w:outlineLvl w:val="3"/>
      </w:pPr>
      <w:r>
        <w:rPr>
          <w:sz w:val="24"/>
          <w:b/>
        </w:rPr>
        <w:t>2.项目内容及需求情况（采购项目技术规格、参数及要求）</w:t>
      </w:r>
    </w:p>
    <w:p>
      <w:pPr>
        <w:pStyle w:val="null3"/>
      </w:pPr>
      <w:r>
        <w:rPr/>
        <w:t>采购包1(古镇公安分局2024-2027年度政务信息化项目（警务通项目）):</w:t>
      </w:r>
    </w:p>
    <w:p>
      <w:pPr>
        <w:pStyle w:val="null3"/>
      </w:pPr>
      <w:r>
        <w:rPr/>
        <w:t>采购包预算金额：1,491,840.00元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计算机设备和软件租赁服务</w:t>
            </w:r>
          </w:p>
        </w:tc>
        <w:tc>
          <w:tcPr>
            <w:tcW w:type="dxa" w:w="2136"/>
          </w:tcPr>
          <w:p>
            <w:pPr>
              <w:pStyle w:val="null3"/>
            </w:pPr>
            <w:r>
              <w:rPr/>
              <w:t>古镇公安分局2024-2027年度政务信息化项目（警务通项目）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合同履行期限：自合同约定生效之日起36个月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w:t>
      </w:r>
    </w:p>
    <w:p>
      <w:pPr>
        <w:pStyle w:val="null3"/>
      </w:pPr>
      <w:r>
        <w:rPr/>
        <w:t>2）有依法缴纳税收和社会保障资金的良好记录：投标（响应）时提供近12个月内任意1个月依法缴纳税收和社会保障资金的缴费凭证等相关材料(如依法免税或不需要缴纳社会保障资金的，提供相应证明材料)。或提供《政府采购供应商资格信用承诺函》（格式详见公告附件），若供应商同时提供承诺函和证明材料的，资格审查时以证明材料为准。</w:t>
      </w:r>
    </w:p>
    <w:p>
      <w:pPr>
        <w:pStyle w:val="null3"/>
      </w:pPr>
      <w:r>
        <w:rPr/>
        <w:t>3）具有良好的商业信誉和健全的财务会计制度：提供2023年经审计的财务报告或近12个月内任意1个月编制的财务报表或基本开户行出具的资信证明或政府采购专业担保机构出具的投标担保函。或提供《政府采购供应商资格信用承诺函》（格式详见公告附件），若供应商同时提供承诺函和证明材料的，资格审查时以证明材料为准。</w:t>
      </w:r>
    </w:p>
    <w:p>
      <w:pPr>
        <w:pStyle w:val="null3"/>
      </w:pPr>
      <w:r>
        <w:rPr/>
        <w:t>4）履行合同所必需的设备和专业技术能力：提供承诺函（格式自拟），或按投标（响应）文件格式填报设备和专业技术能力情况。</w:t>
      </w:r>
    </w:p>
    <w:p>
      <w:pPr>
        <w:pStyle w:val="null3"/>
      </w:pPr>
      <w:r>
        <w:rPr/>
        <w:t>5）参加采购活动前3年内，在经营活动中没有重大违法记录：参照投标（报价）函相关承诺格式内容，或提供《政府采购供应商资格信用承诺函》（格式详见公告附件）。若供应商同时提供承诺函和证明材料的，资格审查时以证明材料为准。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采购包1（古镇公安分局2024-2027年度政务信息化项目（警务通项目））：</w:t>
      </w:r>
      <w:r>
        <w:rPr/>
        <w:t>本项目不属于专门面向中小企业采购的项目。</w:t>
      </w:r>
    </w:p>
    <w:p>
      <w:pPr>
        <w:pStyle w:val="null3"/>
        <w:outlineLvl w:val="3"/>
      </w:pPr>
      <w:r>
        <w:rPr>
          <w:sz w:val="24"/>
          <w:b/>
        </w:rPr>
        <w:t>3.本项目特定的资格要求：</w:t>
      </w:r>
    </w:p>
    <w:p>
      <w:pPr>
        <w:pStyle w:val="null3"/>
      </w:pPr>
      <w:r>
        <w:rPr/>
        <w:t>采购包1（古镇公安分局2024-2027年度政务信息化项目（警务通项目））：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中山市公安局古镇分局</w:t>
      </w:r>
    </w:p>
    <w:p>
      <w:pPr>
        <w:pStyle w:val="null3"/>
        <w:ind w:firstLine="480"/>
      </w:pPr>
      <w:r>
        <w:rPr/>
        <w:t xml:space="preserve"> 地址：</w:t>
      </w:r>
      <w:r>
        <w:rPr/>
        <w:t>中山市古镇镇东兴东路3号古镇公安分局</w:t>
      </w:r>
    </w:p>
    <w:p>
      <w:pPr>
        <w:pStyle w:val="null3"/>
        <w:ind w:firstLine="480"/>
      </w:pPr>
      <w:r>
        <w:rPr/>
        <w:t xml:space="preserve"> 联系方式：</w:t>
      </w:r>
      <w:r>
        <w:rPr/>
        <w:t>13590897660</w:t>
      </w:r>
    </w:p>
    <w:p>
      <w:pPr>
        <w:pStyle w:val="null3"/>
        <w:outlineLvl w:val="3"/>
      </w:pPr>
      <w:r>
        <w:rPr>
          <w:sz w:val="24"/>
          <w:b/>
        </w:rPr>
        <w:t xml:space="preserve"> 2.采购代理机构信息</w:t>
      </w:r>
    </w:p>
    <w:p>
      <w:pPr>
        <w:pStyle w:val="null3"/>
        <w:ind w:firstLine="480"/>
      </w:pPr>
      <w:r>
        <w:rPr/>
        <w:t xml:space="preserve"> 名称：</w:t>
      </w:r>
      <w:r>
        <w:rPr/>
        <w:t>中山市畅达工程管理有限公司</w:t>
      </w:r>
    </w:p>
    <w:p>
      <w:pPr>
        <w:pStyle w:val="null3"/>
        <w:ind w:firstLine="480"/>
      </w:pPr>
      <w:r>
        <w:rPr/>
        <w:t xml:space="preserve"> 地址：</w:t>
      </w:r>
      <w:r>
        <w:rPr/>
        <w:t>广东省中山市东区起湾南道3号竹苑广场之二5层</w:t>
      </w:r>
    </w:p>
    <w:p>
      <w:pPr>
        <w:pStyle w:val="null3"/>
        <w:ind w:firstLine="480"/>
      </w:pPr>
      <w:r>
        <w:rPr/>
        <w:t xml:space="preserve"> 联系方式：</w:t>
      </w:r>
      <w:r>
        <w:rPr/>
        <w:t>0760-88167769</w:t>
      </w:r>
    </w:p>
    <w:p>
      <w:pPr>
        <w:pStyle w:val="null3"/>
        <w:outlineLvl w:val="3"/>
      </w:pPr>
      <w:r>
        <w:rPr>
          <w:sz w:val="24"/>
          <w:b/>
        </w:rPr>
        <w:t xml:space="preserve"> 3.项目联系方式</w:t>
      </w:r>
    </w:p>
    <w:p>
      <w:pPr>
        <w:pStyle w:val="null3"/>
        <w:ind w:firstLine="480"/>
      </w:pPr>
      <w:r>
        <w:rPr/>
        <w:t xml:space="preserve"> 项目联系人：</w:t>
      </w:r>
      <w:r>
        <w:rPr/>
        <w:t>韦星、温桂华</w:t>
      </w:r>
    </w:p>
    <w:p>
      <w:pPr>
        <w:pStyle w:val="null3"/>
        <w:ind w:firstLine="480"/>
      </w:pPr>
      <w:r>
        <w:rPr/>
        <w:t xml:space="preserve"> 电话：</w:t>
      </w:r>
      <w:r>
        <w:rPr/>
        <w:t>0760-88167769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中山市畅达工程管理有限公司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古镇公安分局</w:t>
      </w:r>
      <w:r>
        <w:rPr>
          <w:sz w:val="21"/>
        </w:rPr>
        <w:t>2024-2027</w:t>
      </w:r>
      <w:r>
        <w:rPr>
          <w:sz w:val="21"/>
        </w:rPr>
        <w:t>年度政务信息化项目（移动警务通）</w:t>
      </w:r>
      <w:r>
        <w:rPr>
          <w:sz w:val="21"/>
        </w:rPr>
        <w:t>主要开展移动警务双系统终端、安全加密、专用链路、终端安装运维等服务的建设，为移动警务系统提供前端支撑。</w:t>
      </w:r>
    </w:p>
    <w:p>
      <w:pPr>
        <w:pStyle w:val="null3"/>
        <w:spacing w:before="240" w:after="240"/>
        <w:jc w:val="both"/>
      </w:pPr>
      <w:r>
        <w:rPr>
          <w:sz w:val="28"/>
          <w:b/>
        </w:rPr>
        <w:t>二、运维目标</w:t>
      </w:r>
    </w:p>
    <w:p>
      <w:pPr>
        <w:pStyle w:val="null3"/>
        <w:ind w:left="180" w:right="180" w:firstLine="420"/>
        <w:jc w:val="both"/>
      </w:pPr>
      <w:r>
        <w:rPr>
          <w:sz w:val="21"/>
        </w:rPr>
        <w:t>1.</w:t>
      </w:r>
      <w:r>
        <w:rPr>
          <w:sz w:val="21"/>
        </w:rPr>
        <w:t>按照公安部“移动警务创新改革会议”精神和公安部《新一代移动警务总体方案》（</w:t>
      </w:r>
      <w:r>
        <w:rPr>
          <w:sz w:val="21"/>
        </w:rPr>
        <w:t xml:space="preserve">2016 </w:t>
      </w:r>
      <w:r>
        <w:rPr>
          <w:sz w:val="21"/>
        </w:rPr>
        <w:t>版）和《广东省公安厅新一代公安移动警务建设方案》的最新要求，推进</w:t>
      </w:r>
      <w:r>
        <w:rPr>
          <w:sz w:val="21"/>
        </w:rPr>
        <w:t>中山市公安局古镇分局</w:t>
      </w:r>
      <w:r>
        <w:rPr>
          <w:sz w:val="21"/>
        </w:rPr>
        <w:t>“智慧公安”建设，实现“指尖警务”目标。</w:t>
      </w:r>
    </w:p>
    <w:p>
      <w:pPr>
        <w:pStyle w:val="null3"/>
        <w:ind w:left="180" w:right="180" w:firstLine="420"/>
        <w:jc w:val="both"/>
      </w:pPr>
      <w:r>
        <w:rPr>
          <w:sz w:val="21"/>
        </w:rPr>
        <w:t>2.</w:t>
      </w:r>
      <w:r>
        <w:rPr>
          <w:sz w:val="21"/>
        </w:rPr>
        <w:t>提供满足</w:t>
      </w:r>
      <w:r>
        <w:rPr>
          <w:sz w:val="21"/>
        </w:rPr>
        <w:t>中山市公安局古镇分局</w:t>
      </w:r>
      <w:r>
        <w:rPr>
          <w:sz w:val="21"/>
        </w:rPr>
        <w:t>工作要求的移动警务终端以及良好配套服务</w:t>
      </w:r>
      <w:r>
        <w:rPr>
          <w:sz w:val="21"/>
        </w:rPr>
        <w:t>,</w:t>
      </w:r>
      <w:r>
        <w:rPr>
          <w:sz w:val="21"/>
        </w:rPr>
        <w:t>与</w:t>
      </w:r>
      <w:r>
        <w:rPr>
          <w:sz w:val="21"/>
        </w:rPr>
        <w:t>中山市公安局古镇分局</w:t>
      </w:r>
      <w:r>
        <w:rPr>
          <w:sz w:val="21"/>
        </w:rPr>
        <w:t>现有移动警务系统实现互联互通，实现民警管理和业务闭环，打通基层警务工作的最后一公里。</w:t>
      </w:r>
    </w:p>
    <w:p>
      <w:pPr>
        <w:pStyle w:val="null3"/>
        <w:jc w:val="both"/>
      </w:pPr>
      <w:r>
        <w:rPr/>
        <w:t>采购包1（古镇公安分局2024-2027年度政务信息化项目（警务通项目））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运维服务期自合同约定生效之日起36个月。中标人需于运维前制定项目规范及相关培训要求，并在原系统运维期到期后正式开展运维工作。</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1期：支付比例100%,运维费用分36个月，根据中标人的考核结果按月支付。 (一)中标人开具正式发票； (二)因采购人使用的是财政资金，采购人根据实际数量和质量核查情况向财政部门提交请款申请即视为已向中标人履行支付义务。</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如涉及到文档模板，中标人应在合同签订后，按采购人要求提供，经采购人审核并确认项目的验收材料。2.验收应在中标人和采购人的共同参与下进行，依据招标文件的要求、已制定的方案及国家相关规定、规范进行验收，如有必要将邀请相关专业人员或机构参与。对验收不合格的部分，中标人应在采购人规定时间内及时整改完善直至验收合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结算方式，最终结算数量经采购人验收合格的实际租赁数量为准。结算金额=最终租赁数量*各项中标单价，最终结算金额不得超过合同价。</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采购包报价包括但不限于：硬件、软件维护、第三方软件采购、安装、集成、运行、测试、培训、验收、技术服务、税费（包括关税、增值税）、人工、设备、耗材、运费、保险费、过渡支持期费用、资料等所有相关的全部费用； 2.中标人在运维服务期间内履行本项目所有义务后，采购人根据合同约定支付相关费用，不再另行支付合同约定以外的任何费用。 3.投标人的最终报价不得高于预算金额，且需按《终端A及配套套餐和服务》和《终端B及配套套餐和服务》进行分项报价，报价不得高于上限价。《终端A及配套套餐和服务》的暂估租赁数量为85套，《终端B及配套套餐和服务》的暂估租赁数量为100套，最终结算数量以招标人验收合格的实际租赁数量为准。</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过渡支持期</w:t>
            </w:r>
          </w:p>
        </w:tc>
        <w:tc>
          <w:tcPr>
            <w:tcW w:type="dxa" w:w="2076"/>
          </w:tcPr>
          <w:p>
            <w:pPr>
              <w:pStyle w:val="null3"/>
              <w:jc w:val="left"/>
            </w:pPr>
            <w:r>
              <w:rPr/>
              <w:t>1.本项目运维期满后，若中标人未中标下一期运维服务项目，则必须在下一期运维服务中标人入场前提交运维服务工作移交清单，并在2个月内配合完成工作移交。 2.若运维期满后，新中标人还未与采购人签订合同，则中标人须在新中标人签订合同前继续免费提供1个月的运维服务。</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计算机设备和软件租赁服务</w:t>
            </w:r>
          </w:p>
        </w:tc>
        <w:tc>
          <w:tcPr>
            <w:tcW w:type="dxa" w:w="933"/>
          </w:tcPr>
          <w:p>
            <w:pPr>
              <w:pStyle w:val="null3"/>
              <w:jc w:val="left"/>
            </w:pPr>
            <w:r>
              <w:rPr/>
              <w:t>古镇公安分局2024-2027年度政务信息化项目（警务通项目）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1,491,840.00</w:t>
            </w:r>
          </w:p>
        </w:tc>
        <w:tc>
          <w:tcPr>
            <w:tcW w:type="dxa" w:w="933"/>
          </w:tcPr>
          <w:p>
            <w:pPr>
              <w:pStyle w:val="null3"/>
              <w:jc w:val="right"/>
            </w:pPr>
            <w:r>
              <w:rPr/>
              <w:t>1,491,840.00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古镇公安分局2024-2027年度政务信息化项目（警务通项目）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180" w:right="180"/>
              <w:jc w:val="both"/>
            </w:pPr>
            <w:r>
              <w:rPr>
                <w:sz w:val="21"/>
              </w:rPr>
              <w:t>一、日常巡检与维护</w:t>
            </w:r>
          </w:p>
          <w:p>
            <w:pPr>
              <w:pStyle w:val="null3"/>
              <w:ind w:firstLine="440"/>
              <w:jc w:val="both"/>
            </w:pPr>
            <w:r>
              <w:rPr>
                <w:sz w:val="21"/>
              </w:rPr>
              <w:t>1.</w:t>
            </w:r>
            <w:r>
              <w:rPr>
                <w:sz w:val="21"/>
              </w:rPr>
              <w:t>具体租赁明细如下：</w:t>
            </w:r>
          </w:p>
          <w:tbl>
            <w:tblPr>
              <w:tblInd w:type="dxa" w:w="240"/>
              <w:tblBorders>
                <w:top w:val="none" w:color="000000" w:sz="4"/>
                <w:left w:val="none" w:color="000000" w:sz="4"/>
                <w:bottom w:val="none" w:color="000000" w:sz="4"/>
                <w:right w:val="none" w:color="000000" w:sz="4"/>
                <w:insideH w:val="none"/>
                <w:insideV w:val="none"/>
              </w:tblBorders>
            </w:tblPr>
            <w:tblGrid>
              <w:gridCol w:w="3450"/>
              <w:gridCol w:w="1067"/>
              <w:gridCol w:w="1067"/>
            </w:tblGrid>
            <w:tr>
              <w:tc>
                <w:tcPr>
                  <w:tcW w:type="dxa" w:w="3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left="120" w:right="120"/>
                    <w:jc w:val="center"/>
                  </w:pPr>
                  <w:r>
                    <w:rPr>
                      <w:sz w:val="21"/>
                    </w:rPr>
                    <w:t>设备</w:t>
                  </w:r>
                  <w:r>
                    <w:rPr>
                      <w:sz w:val="21"/>
                    </w:rPr>
                    <w:t>/</w:t>
                  </w:r>
                  <w:r>
                    <w:rPr>
                      <w:sz w:val="21"/>
                    </w:rPr>
                    <w:t>套餐名称</w:t>
                  </w:r>
                </w:p>
              </w:tc>
              <w:tc>
                <w:tcPr>
                  <w:tcW w:type="dxa" w:w="10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left="120" w:right="120"/>
                    <w:jc w:val="center"/>
                  </w:pPr>
                  <w:r>
                    <w:rPr>
                      <w:sz w:val="21"/>
                    </w:rPr>
                    <w:t>租赁数量</w:t>
                  </w:r>
                </w:p>
              </w:tc>
              <w:tc>
                <w:tcPr>
                  <w:tcW w:type="dxa" w:w="10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left="120" w:right="120"/>
                    <w:jc w:val="center"/>
                  </w:pPr>
                  <w:r>
                    <w:rPr>
                      <w:sz w:val="21"/>
                    </w:rPr>
                    <w:t>报价上限</w:t>
                  </w:r>
                </w:p>
              </w:tc>
            </w:tr>
            <w:tr>
              <w:tc>
                <w:tcPr>
                  <w:tcW w:type="dxa" w:w="3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left="120" w:right="120"/>
                    <w:jc w:val="center"/>
                  </w:pPr>
                  <w:r>
                    <w:rPr>
                      <w:sz w:val="21"/>
                    </w:rPr>
                    <w:t>终端</w:t>
                  </w:r>
                  <w:r>
                    <w:rPr>
                      <w:sz w:val="21"/>
                    </w:rPr>
                    <w:t>A</w:t>
                  </w:r>
                  <w:r>
                    <w:rPr>
                      <w:sz w:val="21"/>
                    </w:rPr>
                    <w:t>及配套套餐和服务</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right="120"/>
                    <w:jc w:val="center"/>
                  </w:pPr>
                  <w:r>
                    <w:rPr>
                      <w:sz w:val="21"/>
                    </w:rPr>
                    <w:t>85</w:t>
                  </w:r>
                  <w:r>
                    <w:rPr>
                      <w:sz w:val="21"/>
                    </w:rPr>
                    <w:t>套</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right="120"/>
                    <w:jc w:val="center"/>
                  </w:pPr>
                  <w:r>
                    <w:rPr>
                      <w:sz w:val="21"/>
                    </w:rPr>
                    <w:t>202</w:t>
                  </w:r>
                  <w:r>
                    <w:rPr>
                      <w:sz w:val="21"/>
                    </w:rPr>
                    <w:t>元</w:t>
                  </w:r>
                  <w:r>
                    <w:rPr>
                      <w:sz w:val="21"/>
                    </w:rPr>
                    <w:t>/</w:t>
                  </w:r>
                  <w:r>
                    <w:rPr>
                      <w:sz w:val="21"/>
                    </w:rPr>
                    <w:t>月</w:t>
                  </w:r>
                </w:p>
              </w:tc>
            </w:tr>
            <w:tr>
              <w:tc>
                <w:tcPr>
                  <w:tcW w:type="dxa" w:w="3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left="120" w:right="120"/>
                    <w:jc w:val="center"/>
                  </w:pPr>
                  <w:r>
                    <w:rPr>
                      <w:sz w:val="21"/>
                    </w:rPr>
                    <w:t>终端</w:t>
                  </w:r>
                  <w:r>
                    <w:rPr>
                      <w:sz w:val="21"/>
                    </w:rPr>
                    <w:t>B</w:t>
                  </w:r>
                  <w:r>
                    <w:rPr>
                      <w:sz w:val="21"/>
                    </w:rPr>
                    <w:t>及配套套餐和服务</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right="120"/>
                    <w:jc w:val="center"/>
                  </w:pPr>
                  <w:r>
                    <w:rPr>
                      <w:sz w:val="21"/>
                    </w:rPr>
                    <w:t>100</w:t>
                  </w:r>
                  <w:r>
                    <w:rPr>
                      <w:sz w:val="21"/>
                    </w:rPr>
                    <w:t>套</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right="120"/>
                    <w:jc w:val="center"/>
                  </w:pPr>
                  <w:r>
                    <w:rPr>
                      <w:sz w:val="21"/>
                    </w:rPr>
                    <w:t>242</w:t>
                  </w:r>
                  <w:r>
                    <w:rPr>
                      <w:sz w:val="21"/>
                    </w:rPr>
                    <w:t>元</w:t>
                  </w:r>
                  <w:r>
                    <w:rPr>
                      <w:sz w:val="21"/>
                    </w:rPr>
                    <w:t>/</w:t>
                  </w:r>
                  <w:r>
                    <w:rPr>
                      <w:sz w:val="21"/>
                    </w:rPr>
                    <w:t>月</w:t>
                  </w:r>
                </w:p>
              </w:tc>
            </w:tr>
          </w:tbl>
          <w:p>
            <w:pPr>
              <w:pStyle w:val="null3"/>
              <w:ind w:left="180" w:right="180"/>
              <w:jc w:val="both"/>
            </w:pPr>
            <w:r>
              <w:rPr>
                <w:sz w:val="21"/>
              </w:rPr>
              <w:t>最终结算数量以招标人验收合格的实际租赁数量为准</w:t>
            </w:r>
          </w:p>
          <w:p>
            <w:pPr>
              <w:pStyle w:val="null3"/>
              <w:jc w:val="both"/>
            </w:pPr>
            <w:r>
              <w:rPr>
                <w:sz w:val="21"/>
              </w:rPr>
              <w:t>按本项目要求按时完成月套餐服务、双系统终端、安全加密卡</w:t>
            </w:r>
            <w:r>
              <w:rPr>
                <w:sz w:val="21"/>
              </w:rPr>
              <w:t>服务</w:t>
            </w:r>
            <w:r>
              <w:rPr>
                <w:sz w:val="21"/>
              </w:rPr>
              <w:t>、</w:t>
            </w:r>
            <w:r>
              <w:rPr>
                <w:sz w:val="21"/>
              </w:rPr>
              <w:t>MDM</w:t>
            </w:r>
            <w:r>
              <w:rPr>
                <w:sz w:val="21"/>
              </w:rPr>
              <w:t>终端管控服务、终端安装服务</w:t>
            </w:r>
            <w:r>
              <w:rPr>
                <w:sz w:val="21"/>
              </w:rPr>
              <w:t>、</w:t>
            </w:r>
            <w:r>
              <w:rPr>
                <w:sz w:val="21"/>
              </w:rPr>
              <w:t>省市互联链路、终端维护服务等内容进行维护。</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2.</w:t>
            </w:r>
            <w:r>
              <w:rPr>
                <w:sz w:val="21"/>
              </w:rPr>
              <w:t>在符合政府采购政策的前提下，根据采购人要求，中标人必须无条件按照本项目中标价格以及终端和套餐比例签订服务合同。</w:t>
            </w:r>
          </w:p>
        </w:tc>
      </w:tr>
      <w:tr>
        <w:tc>
          <w:tcPr>
            <w:tcW w:type="dxa" w:w="2076"/>
          </w:tcPr>
          <w:p/>
        </w:tc>
        <w:tc>
          <w:tcPr>
            <w:tcW w:type="dxa" w:w="415"/>
          </w:tcPr>
          <w:p>
            <w:pPr>
              <w:pStyle w:val="null3"/>
            </w:pPr>
            <w:r>
              <w:rPr/>
              <w:t>3</w:t>
            </w:r>
          </w:p>
        </w:tc>
        <w:tc>
          <w:tcPr>
            <w:tcW w:type="dxa" w:w="5814"/>
          </w:tcPr>
          <w:p>
            <w:pPr>
              <w:pStyle w:val="null3"/>
              <w:jc w:val="both"/>
            </w:pPr>
            <w:r>
              <w:rPr>
                <w:sz w:val="21"/>
              </w:rPr>
              <w:t>3.</w:t>
            </w:r>
            <w:r>
              <w:rPr>
                <w:sz w:val="21"/>
              </w:rPr>
              <w:t>合同签订后</w:t>
            </w:r>
            <w:r>
              <w:rPr>
                <w:sz w:val="21"/>
              </w:rPr>
              <w:t>30</w:t>
            </w:r>
            <w:r>
              <w:rPr>
                <w:sz w:val="21"/>
              </w:rPr>
              <w:t>个日历日内需保质保量交付项目采购的各项内容；项目周期里，如中标终端机型停产，中标人需提供同等或更高性能的同品牌合规替代机型，差价由中标人承担；在分项合同所约定的服务时间和服务内容范围内，采购人预留未办理的警务通终端、套餐、安全加密服务、</w:t>
            </w:r>
            <w:r>
              <w:rPr>
                <w:sz w:val="21"/>
              </w:rPr>
              <w:t>MDM</w:t>
            </w:r>
            <w:r>
              <w:rPr>
                <w:sz w:val="21"/>
              </w:rPr>
              <w:t>终端安全管控服务等，采购人可随时办理；服务期内，中标人提供采购内容的免费维保及技术支持服务。</w:t>
            </w:r>
          </w:p>
        </w:tc>
      </w:tr>
      <w:tr>
        <w:tc>
          <w:tcPr>
            <w:tcW w:type="dxa" w:w="2076"/>
          </w:tcPr>
          <w:p/>
        </w:tc>
        <w:tc>
          <w:tcPr>
            <w:tcW w:type="dxa" w:w="415"/>
          </w:tcPr>
          <w:p>
            <w:pPr>
              <w:pStyle w:val="null3"/>
            </w:pPr>
            <w:r>
              <w:rPr/>
              <w:t>4</w:t>
            </w:r>
          </w:p>
        </w:tc>
        <w:tc>
          <w:tcPr>
            <w:tcW w:type="dxa" w:w="5814"/>
          </w:tcPr>
          <w:p>
            <w:pPr>
              <w:pStyle w:val="null3"/>
              <w:jc w:val="both"/>
            </w:pPr>
            <w:r>
              <w:rPr>
                <w:sz w:val="21"/>
              </w:rPr>
              <w:t>4.</w:t>
            </w:r>
            <w:r>
              <w:rPr>
                <w:sz w:val="21"/>
              </w:rPr>
              <w:t>警务通终端接入公安移动信息网，中标人须自行提供公安移动信息网入网所需设备，包含但不仅限于交换机、路由器等设备，并于签订合同后</w:t>
            </w:r>
            <w:r>
              <w:rPr>
                <w:sz w:val="21"/>
              </w:rPr>
              <w:t>30</w:t>
            </w:r>
            <w:r>
              <w:rPr>
                <w:sz w:val="21"/>
              </w:rPr>
              <w:t>个日历日内顺利与</w:t>
            </w:r>
            <w:r>
              <w:rPr>
                <w:sz w:val="21"/>
              </w:rPr>
              <w:t>中山市公安局古镇分局</w:t>
            </w:r>
            <w:r>
              <w:rPr>
                <w:sz w:val="21"/>
              </w:rPr>
              <w:t>入网设备对接入网。</w:t>
            </w:r>
          </w:p>
        </w:tc>
      </w:tr>
      <w:tr>
        <w:tc>
          <w:tcPr>
            <w:tcW w:type="dxa" w:w="2076"/>
          </w:tcPr>
          <w:p/>
        </w:tc>
        <w:tc>
          <w:tcPr>
            <w:tcW w:type="dxa" w:w="415"/>
          </w:tcPr>
          <w:p>
            <w:pPr>
              <w:pStyle w:val="null3"/>
            </w:pPr>
            <w:r>
              <w:rPr/>
              <w:t>5</w:t>
            </w:r>
          </w:p>
        </w:tc>
        <w:tc>
          <w:tcPr>
            <w:tcW w:type="dxa" w:w="5814"/>
          </w:tcPr>
          <w:p>
            <w:pPr>
              <w:pStyle w:val="null3"/>
              <w:ind w:right="180"/>
              <w:jc w:val="both"/>
            </w:pPr>
            <w:r>
              <w:rPr>
                <w:sz w:val="21"/>
              </w:rPr>
              <w:t>5.</w:t>
            </w:r>
            <w:r>
              <w:rPr>
                <w:sz w:val="21"/>
              </w:rPr>
              <w:t>服务期内终端故障时，中标人或其委托维修单位须在采购人监督下开展维修工作。</w:t>
            </w:r>
          </w:p>
          <w:p>
            <w:pPr>
              <w:pStyle w:val="null3"/>
              <w:ind w:right="180"/>
              <w:jc w:val="both"/>
            </w:pPr>
            <w:r>
              <w:rPr>
                <w:sz w:val="21"/>
              </w:rPr>
              <w:t>具体维护内容：</w:t>
            </w:r>
          </w:p>
          <w:p>
            <w:pPr>
              <w:pStyle w:val="null3"/>
              <w:ind w:right="180"/>
              <w:jc w:val="both"/>
            </w:pPr>
            <w:r>
              <w:rPr>
                <w:sz w:val="21"/>
              </w:rPr>
              <w:t>（</w:t>
            </w:r>
            <w:r>
              <w:rPr>
                <w:sz w:val="21"/>
              </w:rPr>
              <w:t>1</w:t>
            </w:r>
            <w:r>
              <w:rPr>
                <w:sz w:val="21"/>
              </w:rPr>
              <w:t>）确保移动警务终端正常使用，链路状态稳定，与省厅移动警务安全认证正常连接，支撑移动警务应用正常使用。</w:t>
            </w:r>
          </w:p>
          <w:p>
            <w:pPr>
              <w:pStyle w:val="null3"/>
              <w:ind w:right="180"/>
              <w:jc w:val="both"/>
            </w:pPr>
            <w:r>
              <w:rPr>
                <w:sz w:val="21"/>
              </w:rPr>
              <w:t>（</w:t>
            </w:r>
            <w:r>
              <w:rPr>
                <w:sz w:val="21"/>
              </w:rPr>
              <w:t>2</w:t>
            </w:r>
            <w:r>
              <w:rPr>
                <w:sz w:val="21"/>
              </w:rPr>
              <w:t>）稳定的高带宽接入，</w:t>
            </w:r>
            <w:r>
              <w:rPr>
                <w:sz w:val="21"/>
              </w:rPr>
              <w:t xml:space="preserve">APN </w:t>
            </w:r>
            <w:r>
              <w:rPr>
                <w:sz w:val="21"/>
              </w:rPr>
              <w:t>用户不需绕行运营商核心网，缩短逻辑路径，降低时延。</w:t>
            </w:r>
          </w:p>
          <w:p>
            <w:pPr>
              <w:pStyle w:val="null3"/>
              <w:ind w:right="180"/>
              <w:jc w:val="both"/>
            </w:pPr>
            <w:r>
              <w:rPr>
                <w:sz w:val="21"/>
              </w:rPr>
              <w:t>（</w:t>
            </w:r>
            <w:r>
              <w:rPr>
                <w:sz w:val="21"/>
              </w:rPr>
              <w:t>3</w:t>
            </w:r>
            <w:r>
              <w:rPr>
                <w:sz w:val="21"/>
              </w:rPr>
              <w:t>）</w:t>
            </w:r>
            <w:r>
              <w:rPr>
                <w:sz w:val="21"/>
              </w:rPr>
              <w:t xml:space="preserve">MEC </w:t>
            </w:r>
            <w:r>
              <w:rPr>
                <w:sz w:val="21"/>
              </w:rPr>
              <w:t>本地部署，配置灵活，利于业务部署和调整。</w:t>
            </w:r>
          </w:p>
          <w:p>
            <w:pPr>
              <w:pStyle w:val="null3"/>
              <w:ind w:right="180"/>
              <w:jc w:val="both"/>
            </w:pPr>
            <w:r>
              <w:rPr>
                <w:sz w:val="21"/>
              </w:rPr>
              <w:t>（</w:t>
            </w:r>
            <w:r>
              <w:rPr>
                <w:sz w:val="21"/>
              </w:rPr>
              <w:t>4</w:t>
            </w:r>
            <w:r>
              <w:rPr>
                <w:sz w:val="21"/>
              </w:rPr>
              <w:t>）可通过无线网切片技术，实现客户的无线专网，确保数据安全性和保密性。</w:t>
            </w:r>
          </w:p>
          <w:p>
            <w:pPr>
              <w:pStyle w:val="null3"/>
              <w:ind w:right="180"/>
              <w:jc w:val="both"/>
            </w:pPr>
            <w:r>
              <w:rPr>
                <w:sz w:val="21"/>
              </w:rPr>
              <w:t>（</w:t>
            </w:r>
            <w:r>
              <w:rPr>
                <w:sz w:val="21"/>
              </w:rPr>
              <w:t>5</w:t>
            </w:r>
            <w:r>
              <w:rPr>
                <w:sz w:val="21"/>
              </w:rPr>
              <w:t>）接入白名单要求：将本项目警务通号码设为白名单，优先加入附近基站。</w:t>
            </w:r>
          </w:p>
          <w:p>
            <w:pPr>
              <w:pStyle w:val="null3"/>
              <w:ind w:right="180"/>
              <w:jc w:val="both"/>
            </w:pPr>
            <w:r>
              <w:rPr>
                <w:sz w:val="21"/>
              </w:rPr>
              <w:t>（</w:t>
            </w:r>
            <w:r>
              <w:rPr>
                <w:sz w:val="21"/>
              </w:rPr>
              <w:t>6</w:t>
            </w:r>
            <w:r>
              <w:rPr>
                <w:sz w:val="21"/>
              </w:rPr>
              <w:t>）针对采购人实际需求提供相应的网络优化保障服务，例如大型活动、重要会议、节日保障以及特殊区域与位置的网络信号加强与优化保障。</w:t>
            </w:r>
          </w:p>
          <w:p>
            <w:pPr>
              <w:pStyle w:val="null3"/>
              <w:ind w:right="180"/>
              <w:jc w:val="both"/>
            </w:pPr>
            <w:r>
              <w:rPr>
                <w:sz w:val="21"/>
              </w:rPr>
              <w:t>（</w:t>
            </w:r>
            <w:r>
              <w:rPr>
                <w:sz w:val="21"/>
              </w:rPr>
              <w:t>7</w:t>
            </w:r>
            <w:r>
              <w:rPr>
                <w:sz w:val="21"/>
              </w:rPr>
              <w:t>）</w:t>
            </w:r>
            <w:r>
              <w:rPr>
                <w:sz w:val="21"/>
              </w:rPr>
              <w:t>MDM</w:t>
            </w:r>
            <w:r>
              <w:rPr>
                <w:sz w:val="21"/>
              </w:rPr>
              <w:t>终端管控系统</w:t>
            </w:r>
          </w:p>
          <w:p>
            <w:pPr>
              <w:pStyle w:val="null3"/>
              <w:ind w:right="180"/>
              <w:jc w:val="both"/>
            </w:pPr>
            <w:r>
              <w:rPr>
                <w:sz w:val="21"/>
              </w:rPr>
              <w:t>1</w:t>
            </w:r>
            <w:r>
              <w:rPr>
                <w:sz w:val="21"/>
              </w:rPr>
              <w:t>）基本维护服务，基本服务指为保证系统正常运行所需的预防性维护、日常维护支持、数据备份支持等工作。包括：①日常维护技术支持：对系统进行维护，监控应用软件运行情况，保证系统正常运行。②数据安全性管理技术支持：对系统的数据备份和恢复进行技术支持，以备在异常情况下尽快恢复系统。</w:t>
            </w:r>
          </w:p>
          <w:p>
            <w:pPr>
              <w:pStyle w:val="null3"/>
              <w:ind w:right="180"/>
              <w:jc w:val="both"/>
            </w:pPr>
            <w:r>
              <w:rPr>
                <w:sz w:val="21"/>
              </w:rPr>
              <w:t>2</w:t>
            </w:r>
            <w:r>
              <w:rPr>
                <w:sz w:val="21"/>
              </w:rPr>
              <w:t>）①升级支持服务，版本升级技术支持：应用软件版本的升级支撑服务。②第三方软件升级：在采购人已经购买的第三方软件的升级服务的情况下，中标人应在第三方软件升级时进行相关的技术支持。③</w:t>
            </w:r>
            <w:r>
              <w:rPr>
                <w:sz w:val="21"/>
              </w:rPr>
              <w:t>7*24</w:t>
            </w:r>
            <w:r>
              <w:rPr>
                <w:sz w:val="21"/>
              </w:rPr>
              <w:t>小时电话技术咨询服务。④技术资料支持。提供全面详实的系统技术资料，当系统或网络发生变化时在</w:t>
            </w:r>
            <w:r>
              <w:rPr>
                <w:sz w:val="21"/>
              </w:rPr>
              <w:t>5</w:t>
            </w:r>
            <w:r>
              <w:rPr>
                <w:sz w:val="21"/>
              </w:rPr>
              <w:t>个工作日内更新相关文档。</w:t>
            </w:r>
          </w:p>
          <w:p>
            <w:pPr>
              <w:pStyle w:val="null3"/>
              <w:ind w:right="180"/>
              <w:jc w:val="both"/>
            </w:pPr>
            <w:r>
              <w:rPr>
                <w:sz w:val="21"/>
              </w:rPr>
              <w:t>3</w:t>
            </w:r>
            <w:r>
              <w:rPr>
                <w:sz w:val="21"/>
              </w:rPr>
              <w:t>）故障排除。工作日要求服务人员</w:t>
            </w:r>
            <w:r>
              <w:rPr>
                <w:sz w:val="21"/>
              </w:rPr>
              <w:t>5</w:t>
            </w:r>
            <w:r>
              <w:rPr>
                <w:sz w:val="21"/>
              </w:rPr>
              <w:t>分钟内响应，</w:t>
            </w:r>
            <w:r>
              <w:rPr>
                <w:sz w:val="21"/>
              </w:rPr>
              <w:t>10</w:t>
            </w:r>
            <w:r>
              <w:rPr>
                <w:sz w:val="21"/>
              </w:rPr>
              <w:t>分钟内开展故障排查，</w:t>
            </w:r>
            <w:r>
              <w:rPr>
                <w:sz w:val="21"/>
              </w:rPr>
              <w:t>30</w:t>
            </w:r>
            <w:r>
              <w:rPr>
                <w:sz w:val="21"/>
              </w:rPr>
              <w:t>分钟内定位问题，</w:t>
            </w:r>
            <w:r>
              <w:rPr>
                <w:sz w:val="21"/>
              </w:rPr>
              <w:t>1</w:t>
            </w:r>
            <w:r>
              <w:rPr>
                <w:sz w:val="21"/>
              </w:rPr>
              <w:t>小时内解决问题，如硬件故障要求</w:t>
            </w:r>
            <w:r>
              <w:rPr>
                <w:sz w:val="21"/>
              </w:rPr>
              <w:t>2</w:t>
            </w:r>
            <w:r>
              <w:rPr>
                <w:sz w:val="21"/>
              </w:rPr>
              <w:t>小时内提供备用硬件到达现场更换。非工作日要求</w:t>
            </w:r>
            <w:r>
              <w:rPr>
                <w:sz w:val="21"/>
              </w:rPr>
              <w:t>10</w:t>
            </w:r>
            <w:r>
              <w:rPr>
                <w:sz w:val="21"/>
              </w:rPr>
              <w:t>分钟内响应，</w:t>
            </w:r>
            <w:r>
              <w:rPr>
                <w:sz w:val="21"/>
              </w:rPr>
              <w:t>30</w:t>
            </w:r>
            <w:r>
              <w:rPr>
                <w:sz w:val="21"/>
              </w:rPr>
              <w:t>分钟内到达现场，</w:t>
            </w:r>
            <w:r>
              <w:rPr>
                <w:sz w:val="21"/>
              </w:rPr>
              <w:t>2</w:t>
            </w:r>
            <w:r>
              <w:rPr>
                <w:sz w:val="21"/>
              </w:rPr>
              <w:t>小时内解决问题，如硬件故障要求</w:t>
            </w:r>
            <w:r>
              <w:rPr>
                <w:sz w:val="21"/>
              </w:rPr>
              <w:t>6</w:t>
            </w:r>
            <w:r>
              <w:rPr>
                <w:sz w:val="21"/>
              </w:rPr>
              <w:t>小时内提供备用硬件到达现场更换。</w:t>
            </w:r>
          </w:p>
          <w:p>
            <w:pPr>
              <w:pStyle w:val="null3"/>
              <w:ind w:right="180"/>
              <w:jc w:val="both"/>
            </w:pPr>
            <w:r>
              <w:rPr>
                <w:sz w:val="21"/>
              </w:rPr>
              <w:t>（</w:t>
            </w:r>
            <w:r>
              <w:rPr>
                <w:sz w:val="21"/>
              </w:rPr>
              <w:t>8</w:t>
            </w:r>
            <w:r>
              <w:rPr>
                <w:sz w:val="21"/>
              </w:rPr>
              <w:t>）安全加密卡服务需求</w:t>
            </w:r>
          </w:p>
          <w:p>
            <w:pPr>
              <w:pStyle w:val="null3"/>
              <w:ind w:right="180"/>
              <w:jc w:val="both"/>
            </w:pPr>
            <w:r>
              <w:rPr>
                <w:sz w:val="21"/>
              </w:rPr>
              <w:t>1</w:t>
            </w:r>
            <w:r>
              <w:rPr>
                <w:sz w:val="21"/>
              </w:rPr>
              <w:t>）功能需求，安全加密卡需经国家密码管理局安全审查，采用国产密码算法。可放置在一般的</w:t>
            </w:r>
            <w:r>
              <w:rPr>
                <w:sz w:val="21"/>
              </w:rPr>
              <w:t xml:space="preserve">SIM </w:t>
            </w:r>
            <w:r>
              <w:rPr>
                <w:sz w:val="21"/>
              </w:rPr>
              <w:t>卡上再插入智能终端的卡槽中，可为智能终端提供身份认证和信息加密服务，提供的主要加密服务包括：</w:t>
            </w:r>
          </w:p>
          <w:p>
            <w:pPr>
              <w:pStyle w:val="null3"/>
              <w:ind w:right="180"/>
              <w:jc w:val="both"/>
            </w:pPr>
            <w:r>
              <w:rPr>
                <w:sz w:val="21"/>
              </w:rPr>
              <w:t>1.1.</w:t>
            </w:r>
            <w:r>
              <w:rPr>
                <w:sz w:val="21"/>
              </w:rPr>
              <w:t>是用于存储个人数字身份证书和签名私钥，为移动警务终端提供数字签名、签名验证和数据加解密等密码服务。</w:t>
            </w:r>
          </w:p>
          <w:p>
            <w:pPr>
              <w:pStyle w:val="null3"/>
              <w:ind w:right="180"/>
              <w:jc w:val="both"/>
            </w:pPr>
            <w:r>
              <w:rPr>
                <w:sz w:val="21"/>
              </w:rPr>
              <w:t>1.2.</w:t>
            </w:r>
            <w:r>
              <w:rPr>
                <w:sz w:val="21"/>
              </w:rPr>
              <w:t>是用于实现</w:t>
            </w:r>
            <w:r>
              <w:rPr>
                <w:sz w:val="21"/>
              </w:rPr>
              <w:t xml:space="preserve">SM1 </w:t>
            </w:r>
            <w:r>
              <w:rPr>
                <w:sz w:val="21"/>
              </w:rPr>
              <w:t xml:space="preserve">算法和密钥管理，为移动警务终端提供基于 </w:t>
            </w:r>
            <w:r>
              <w:rPr>
                <w:sz w:val="21"/>
              </w:rPr>
              <w:t xml:space="preserve">SM1 </w:t>
            </w:r>
            <w:r>
              <w:rPr>
                <w:sz w:val="21"/>
              </w:rPr>
              <w:t>算法的数据加解密服务。移动警务终端设备配备安全加密卡，安装安全客户端软件后，具备以下功能：</w:t>
            </w:r>
          </w:p>
          <w:p>
            <w:pPr>
              <w:pStyle w:val="null3"/>
              <w:ind w:right="180"/>
              <w:jc w:val="both"/>
            </w:pPr>
            <w:r>
              <w:rPr>
                <w:sz w:val="21"/>
              </w:rPr>
              <w:t>①用户识别功能：安全加密卡提供基于</w:t>
            </w:r>
            <w:r>
              <w:rPr>
                <w:sz w:val="21"/>
              </w:rPr>
              <w:t>PIN</w:t>
            </w:r>
            <w:r>
              <w:rPr>
                <w:sz w:val="21"/>
              </w:rPr>
              <w:t>码的用户识别功能，合法用户可以设置和修改用户口令，非法用户无法通过口令验证，因而也无法使用移动应用功能；此外，</w:t>
            </w:r>
            <w:r>
              <w:rPr>
                <w:sz w:val="21"/>
              </w:rPr>
              <w:t xml:space="preserve">PIN </w:t>
            </w:r>
            <w:r>
              <w:rPr>
                <w:sz w:val="21"/>
              </w:rPr>
              <w:t>码验证提供防暴力破解功能，连续错误输入口令次数超过设定次数将导致安全加密卡</w:t>
            </w:r>
            <w:r>
              <w:rPr>
                <w:sz w:val="21"/>
              </w:rPr>
              <w:t xml:space="preserve">PIN </w:t>
            </w:r>
            <w:r>
              <w:rPr>
                <w:sz w:val="21"/>
              </w:rPr>
              <w:t>码被锁定。</w:t>
            </w:r>
          </w:p>
          <w:p>
            <w:pPr>
              <w:pStyle w:val="null3"/>
              <w:ind w:right="180"/>
              <w:jc w:val="both"/>
            </w:pPr>
            <w:r>
              <w:rPr>
                <w:sz w:val="21"/>
              </w:rPr>
              <w:t>②信息安全存储功能：安全加密卡通过访问控制提供密钥等关键信息的安全存储，该信息的存储对访问进行了特殊标记；对称密钥信息加密存储，必须通过用户身份识别后才能进行读写。</w:t>
            </w:r>
          </w:p>
          <w:p>
            <w:pPr>
              <w:pStyle w:val="null3"/>
              <w:jc w:val="both"/>
            </w:pPr>
            <w:r>
              <w:rPr>
                <w:sz w:val="21"/>
              </w:rPr>
              <w:t>③</w:t>
            </w:r>
            <w:r>
              <w:rPr>
                <w:sz w:val="21"/>
              </w:rPr>
              <w:t>密码学运算功能：安全加密卡主要提供的密码学运算有：随机数生成国密</w:t>
            </w:r>
            <w:r>
              <w:rPr>
                <w:sz w:val="21"/>
              </w:rPr>
              <w:t>SM1</w:t>
            </w:r>
            <w:r>
              <w:rPr>
                <w:sz w:val="21"/>
              </w:rPr>
              <w:t xml:space="preserve">算法、国密 </w:t>
            </w:r>
            <w:r>
              <w:rPr>
                <w:sz w:val="21"/>
              </w:rPr>
              <w:t>SM2</w:t>
            </w:r>
            <w:r>
              <w:rPr>
                <w:sz w:val="21"/>
              </w:rPr>
              <w:t>算法、</w:t>
            </w:r>
            <w:r>
              <w:rPr>
                <w:sz w:val="21"/>
              </w:rPr>
              <w:t>SHA1</w:t>
            </w:r>
            <w:r>
              <w:rPr>
                <w:sz w:val="21"/>
              </w:rPr>
              <w:t>杂凑算法、</w:t>
            </w:r>
            <w:r>
              <w:rPr>
                <w:sz w:val="21"/>
              </w:rPr>
              <w:t>RSA1024</w:t>
            </w:r>
            <w:r>
              <w:rPr>
                <w:sz w:val="21"/>
              </w:rPr>
              <w:t>算法等。</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rPr>
              <w:t>2</w:t>
            </w:r>
            <w:r>
              <w:rPr>
                <w:sz w:val="21"/>
              </w:rPr>
              <w:t>）参数需求</w:t>
            </w:r>
          </w:p>
          <w:p>
            <w:pPr>
              <w:pStyle w:val="null3"/>
              <w:jc w:val="both"/>
            </w:pPr>
            <w:r>
              <w:rPr>
                <w:sz w:val="21"/>
              </w:rPr>
              <w:t>①</w:t>
            </w:r>
            <w:r>
              <w:rPr>
                <w:sz w:val="21"/>
              </w:rPr>
              <w:t>采用国产自主研发的密码芯片（提供证书复印件（或扫描件）或证明材料并加盖厂商公章）。</w:t>
            </w:r>
          </w:p>
        </w:tc>
      </w:tr>
      <w:tr>
        <w:tc>
          <w:tcPr>
            <w:tcW w:type="dxa" w:w="2076"/>
          </w:tcPr>
          <w:p/>
        </w:tc>
        <w:tc>
          <w:tcPr>
            <w:tcW w:type="dxa" w:w="415"/>
          </w:tcPr>
          <w:p>
            <w:pPr>
              <w:pStyle w:val="null3"/>
            </w:pPr>
            <w:r>
              <w:rPr/>
              <w:t>7</w:t>
            </w:r>
          </w:p>
        </w:tc>
        <w:tc>
          <w:tcPr>
            <w:tcW w:type="dxa" w:w="5814"/>
          </w:tcPr>
          <w:p>
            <w:pPr>
              <w:pStyle w:val="null3"/>
              <w:jc w:val="both"/>
            </w:pPr>
            <w:r>
              <w:rPr>
                <w:sz w:val="21"/>
              </w:rPr>
              <w:t>②支持标准SIM 卡、Micro SIM 卡和 Nano SIM 卡三种 SIM 卡类型。</w:t>
            </w:r>
          </w:p>
        </w:tc>
      </w:tr>
      <w:tr>
        <w:tc>
          <w:tcPr>
            <w:tcW w:type="dxa" w:w="2076"/>
          </w:tcPr>
          <w:p/>
        </w:tc>
        <w:tc>
          <w:tcPr>
            <w:tcW w:type="dxa" w:w="415"/>
          </w:tcPr>
          <w:p>
            <w:pPr>
              <w:pStyle w:val="null3"/>
            </w:pPr>
            <w:r>
              <w:rPr/>
              <w:t>8</w:t>
            </w:r>
          </w:p>
        </w:tc>
        <w:tc>
          <w:tcPr>
            <w:tcW w:type="dxa" w:w="5814"/>
          </w:tcPr>
          <w:p>
            <w:pPr>
              <w:pStyle w:val="null3"/>
              <w:jc w:val="both"/>
            </w:pPr>
            <w:r>
              <w:rPr>
                <w:sz w:val="21"/>
              </w:rPr>
              <w:t>③支持国密算法高速加解密，可满足流媒体加密需求。</w:t>
            </w:r>
          </w:p>
        </w:tc>
      </w:tr>
      <w:tr>
        <w:tc>
          <w:tcPr>
            <w:tcW w:type="dxa" w:w="2076"/>
          </w:tcPr>
          <w:p/>
        </w:tc>
        <w:tc>
          <w:tcPr>
            <w:tcW w:type="dxa" w:w="415"/>
          </w:tcPr>
          <w:p>
            <w:pPr>
              <w:pStyle w:val="null3"/>
            </w:pPr>
            <w:r>
              <w:rPr/>
              <w:t>9</w:t>
            </w:r>
          </w:p>
        </w:tc>
        <w:tc>
          <w:tcPr>
            <w:tcW w:type="dxa" w:w="5814"/>
          </w:tcPr>
          <w:p>
            <w:pPr>
              <w:pStyle w:val="null3"/>
              <w:jc w:val="both"/>
            </w:pPr>
            <w:r>
              <w:rPr>
                <w:sz w:val="21"/>
              </w:rPr>
              <w:t>④低功耗设计，满足手机的应用环境。</w:t>
            </w:r>
          </w:p>
        </w:tc>
      </w:tr>
      <w:tr>
        <w:tc>
          <w:tcPr>
            <w:tcW w:type="dxa" w:w="2076"/>
          </w:tcPr>
          <w:p/>
        </w:tc>
        <w:tc>
          <w:tcPr>
            <w:tcW w:type="dxa" w:w="415"/>
          </w:tcPr>
          <w:p>
            <w:pPr>
              <w:pStyle w:val="null3"/>
            </w:pPr>
            <w:r>
              <w:rPr/>
              <w:t>10</w:t>
            </w:r>
          </w:p>
        </w:tc>
        <w:tc>
          <w:tcPr>
            <w:tcW w:type="dxa" w:w="5814"/>
          </w:tcPr>
          <w:p>
            <w:pPr>
              <w:pStyle w:val="null3"/>
              <w:jc w:val="both"/>
            </w:pPr>
            <w:r>
              <w:rPr>
                <w:sz w:val="21"/>
              </w:rPr>
              <w:t>⑤支持基于国密算法的移动应用分发，防止未授权的应用访问。</w:t>
            </w:r>
          </w:p>
        </w:tc>
      </w:tr>
      <w:tr>
        <w:tc>
          <w:tcPr>
            <w:tcW w:type="dxa" w:w="2076"/>
          </w:tcPr>
          <w:p/>
        </w:tc>
        <w:tc>
          <w:tcPr>
            <w:tcW w:type="dxa" w:w="415"/>
          </w:tcPr>
          <w:p>
            <w:pPr>
              <w:pStyle w:val="null3"/>
            </w:pPr>
            <w:r>
              <w:rPr/>
              <w:t>11</w:t>
            </w:r>
          </w:p>
        </w:tc>
        <w:tc>
          <w:tcPr>
            <w:tcW w:type="dxa" w:w="5814"/>
          </w:tcPr>
          <w:p>
            <w:pPr>
              <w:pStyle w:val="null3"/>
              <w:jc w:val="both"/>
            </w:pPr>
            <w:r>
              <w:rPr>
                <w:sz w:val="21"/>
              </w:rPr>
              <w:t>⑥全面支持Android、鸿蒙等主流操作系统平台。</w:t>
            </w:r>
          </w:p>
        </w:tc>
      </w:tr>
      <w:tr>
        <w:tc>
          <w:tcPr>
            <w:tcW w:type="dxa" w:w="2076"/>
          </w:tcPr>
          <w:p/>
        </w:tc>
        <w:tc>
          <w:tcPr>
            <w:tcW w:type="dxa" w:w="415"/>
          </w:tcPr>
          <w:p>
            <w:pPr>
              <w:pStyle w:val="null3"/>
            </w:pPr>
            <w:r>
              <w:rPr/>
              <w:t>12</w:t>
            </w:r>
          </w:p>
        </w:tc>
        <w:tc>
          <w:tcPr>
            <w:tcW w:type="dxa" w:w="5814"/>
          </w:tcPr>
          <w:p>
            <w:pPr>
              <w:pStyle w:val="null3"/>
              <w:jc w:val="both"/>
            </w:pPr>
            <w:r>
              <w:rPr>
                <w:sz w:val="21"/>
              </w:rPr>
              <w:t>⑦安全加密卡支持SM1、SM2、SM3、SM4 等国密算法。</w:t>
            </w:r>
          </w:p>
        </w:tc>
      </w:tr>
      <w:tr>
        <w:tc>
          <w:tcPr>
            <w:tcW w:type="dxa" w:w="2076"/>
          </w:tcPr>
          <w:p/>
        </w:tc>
        <w:tc>
          <w:tcPr>
            <w:tcW w:type="dxa" w:w="415"/>
          </w:tcPr>
          <w:p>
            <w:pPr>
              <w:pStyle w:val="null3"/>
            </w:pPr>
            <w:r>
              <w:rPr/>
              <w:t>13</w:t>
            </w:r>
          </w:p>
        </w:tc>
        <w:tc>
          <w:tcPr>
            <w:tcW w:type="dxa" w:w="5814"/>
          </w:tcPr>
          <w:p>
            <w:pPr>
              <w:pStyle w:val="null3"/>
              <w:jc w:val="both"/>
            </w:pPr>
            <w:r>
              <w:rPr>
                <w:sz w:val="21"/>
              </w:rPr>
              <w:t>⑧安全加密卡可存储个人数字身份证书和签名私钥，为移动终端提供数字签名、签名验证和数据加密等密码服务。</w:t>
            </w:r>
          </w:p>
        </w:tc>
      </w:tr>
      <w:tr>
        <w:tc>
          <w:tcPr>
            <w:tcW w:type="dxa" w:w="2076"/>
          </w:tcPr>
          <w:p/>
        </w:tc>
        <w:tc>
          <w:tcPr>
            <w:tcW w:type="dxa" w:w="415"/>
          </w:tcPr>
          <w:p>
            <w:pPr>
              <w:pStyle w:val="null3"/>
            </w:pPr>
            <w:r>
              <w:rPr/>
              <w:t>14</w:t>
            </w:r>
          </w:p>
        </w:tc>
        <w:tc>
          <w:tcPr>
            <w:tcW w:type="dxa" w:w="5814"/>
          </w:tcPr>
          <w:p>
            <w:pPr>
              <w:pStyle w:val="null3"/>
              <w:jc w:val="both"/>
            </w:pPr>
            <w:r>
              <w:rPr>
                <w:sz w:val="21"/>
              </w:rPr>
              <w:t>⑨安全加密卡可实现SM2 算法和密钥管理，为移动终端提供基于 SM2 算法的数据加解密服务。</w:t>
            </w:r>
          </w:p>
        </w:tc>
      </w:tr>
      <w:tr>
        <w:tc>
          <w:tcPr>
            <w:tcW w:type="dxa" w:w="2076"/>
          </w:tcPr>
          <w:p>
            <w:pPr>
              <w:pStyle w:val="null3"/>
            </w:pPr>
            <w:r>
              <w:rPr/>
              <w:t>▲</w:t>
            </w:r>
          </w:p>
        </w:tc>
        <w:tc>
          <w:tcPr>
            <w:tcW w:type="dxa" w:w="415"/>
          </w:tcPr>
          <w:p>
            <w:pPr>
              <w:pStyle w:val="null3"/>
            </w:pPr>
            <w:r>
              <w:rPr/>
              <w:t>15</w:t>
            </w:r>
          </w:p>
        </w:tc>
        <w:tc>
          <w:tcPr>
            <w:tcW w:type="dxa" w:w="5814"/>
          </w:tcPr>
          <w:p>
            <w:pPr>
              <w:pStyle w:val="null3"/>
              <w:jc w:val="both"/>
            </w:pPr>
            <w:r>
              <w:rPr>
                <w:sz w:val="21"/>
              </w:rPr>
              <w:t>⑩安全加密卡能够跟中山本地移动警务安全接入平台、广东省公安厅移动警务安全认证平台互联互通（请在投标文件格式十“承诺函”提供承诺，并在条款前注明：对</w:t>
            </w:r>
            <w:r>
              <w:rPr>
                <w:sz w:val="21"/>
              </w:rPr>
              <w:t>古镇公安分局</w:t>
            </w:r>
            <w:r>
              <w:rPr>
                <w:sz w:val="21"/>
              </w:rPr>
              <w:t>2024-2027年度政务信息化项目（警务通项目）</w:t>
            </w:r>
            <w:r>
              <w:rPr>
                <w:sz w:val="21"/>
              </w:rPr>
              <w:t>承诺）。</w:t>
            </w:r>
          </w:p>
        </w:tc>
      </w:tr>
      <w:tr>
        <w:tc>
          <w:tcPr>
            <w:tcW w:type="dxa" w:w="2076"/>
          </w:tcPr>
          <w:p/>
        </w:tc>
        <w:tc>
          <w:tcPr>
            <w:tcW w:type="dxa" w:w="415"/>
          </w:tcPr>
          <w:p>
            <w:pPr>
              <w:pStyle w:val="null3"/>
            </w:pPr>
            <w:r>
              <w:rPr/>
              <w:t>16</w:t>
            </w:r>
          </w:p>
        </w:tc>
        <w:tc>
          <w:tcPr>
            <w:tcW w:type="dxa" w:w="5814"/>
          </w:tcPr>
          <w:p>
            <w:pPr>
              <w:pStyle w:val="null3"/>
              <w:jc w:val="both"/>
            </w:pPr>
            <w:r>
              <w:rPr>
                <w:sz w:val="21"/>
              </w:rPr>
              <w:t>⑪SIM 卡可与安全加密卡插在同一卡槽。</w:t>
            </w:r>
          </w:p>
        </w:tc>
      </w:tr>
      <w:tr>
        <w:tc>
          <w:tcPr>
            <w:tcW w:type="dxa" w:w="2076"/>
          </w:tcPr>
          <w:p/>
        </w:tc>
        <w:tc>
          <w:tcPr>
            <w:tcW w:type="dxa" w:w="415"/>
          </w:tcPr>
          <w:p>
            <w:pPr>
              <w:pStyle w:val="null3"/>
            </w:pPr>
            <w:r>
              <w:rPr/>
              <w:t>17</w:t>
            </w:r>
          </w:p>
        </w:tc>
        <w:tc>
          <w:tcPr>
            <w:tcW w:type="dxa" w:w="5814"/>
          </w:tcPr>
          <w:p>
            <w:pPr>
              <w:pStyle w:val="null3"/>
              <w:jc w:val="both"/>
            </w:pPr>
            <w:r>
              <w:rPr>
                <w:sz w:val="21"/>
              </w:rPr>
              <w:t>⑫SM2 密钥对生成不少于 0.1s/对。</w:t>
            </w:r>
          </w:p>
        </w:tc>
      </w:tr>
      <w:tr>
        <w:tc>
          <w:tcPr>
            <w:tcW w:type="dxa" w:w="2076"/>
          </w:tcPr>
          <w:p/>
        </w:tc>
        <w:tc>
          <w:tcPr>
            <w:tcW w:type="dxa" w:w="415"/>
          </w:tcPr>
          <w:p>
            <w:pPr>
              <w:pStyle w:val="null3"/>
            </w:pPr>
            <w:r>
              <w:rPr/>
              <w:t>18</w:t>
            </w:r>
          </w:p>
        </w:tc>
        <w:tc>
          <w:tcPr>
            <w:tcW w:type="dxa" w:w="5814"/>
          </w:tcPr>
          <w:p>
            <w:pPr>
              <w:pStyle w:val="null3"/>
              <w:jc w:val="both"/>
            </w:pPr>
            <w:r>
              <w:rPr>
                <w:sz w:val="21"/>
              </w:rPr>
              <w:t>⑬SM2 签名不少于 13 次/s。</w:t>
            </w:r>
          </w:p>
        </w:tc>
      </w:tr>
      <w:tr>
        <w:tc>
          <w:tcPr>
            <w:tcW w:type="dxa" w:w="2076"/>
          </w:tcPr>
          <w:p/>
        </w:tc>
        <w:tc>
          <w:tcPr>
            <w:tcW w:type="dxa" w:w="415"/>
          </w:tcPr>
          <w:p>
            <w:pPr>
              <w:pStyle w:val="null3"/>
            </w:pPr>
            <w:r>
              <w:rPr/>
              <w:t>19</w:t>
            </w:r>
          </w:p>
        </w:tc>
        <w:tc>
          <w:tcPr>
            <w:tcW w:type="dxa" w:w="5814"/>
          </w:tcPr>
          <w:p>
            <w:pPr>
              <w:pStyle w:val="null3"/>
              <w:jc w:val="both"/>
            </w:pPr>
            <w:r>
              <w:rPr>
                <w:sz w:val="21"/>
              </w:rPr>
              <w:t>⑭SM2 验证不少于 12 次/s。</w:t>
            </w:r>
          </w:p>
        </w:tc>
      </w:tr>
      <w:tr>
        <w:tc>
          <w:tcPr>
            <w:tcW w:type="dxa" w:w="2076"/>
          </w:tcPr>
          <w:p/>
        </w:tc>
        <w:tc>
          <w:tcPr>
            <w:tcW w:type="dxa" w:w="415"/>
          </w:tcPr>
          <w:p>
            <w:pPr>
              <w:pStyle w:val="null3"/>
            </w:pPr>
            <w:r>
              <w:rPr/>
              <w:t>20</w:t>
            </w:r>
          </w:p>
        </w:tc>
        <w:tc>
          <w:tcPr>
            <w:tcW w:type="dxa" w:w="5814"/>
          </w:tcPr>
          <w:p>
            <w:pPr>
              <w:pStyle w:val="null3"/>
              <w:jc w:val="both"/>
            </w:pPr>
            <w:r>
              <w:rPr>
                <w:sz w:val="21"/>
              </w:rPr>
              <w:t>⑮SM2 加密不少于 5Kbps。</w:t>
            </w:r>
          </w:p>
        </w:tc>
      </w:tr>
      <w:tr>
        <w:tc>
          <w:tcPr>
            <w:tcW w:type="dxa" w:w="2076"/>
          </w:tcPr>
          <w:p/>
        </w:tc>
        <w:tc>
          <w:tcPr>
            <w:tcW w:type="dxa" w:w="415"/>
          </w:tcPr>
          <w:p>
            <w:pPr>
              <w:pStyle w:val="null3"/>
            </w:pPr>
            <w:r>
              <w:rPr/>
              <w:t>21</w:t>
            </w:r>
          </w:p>
        </w:tc>
        <w:tc>
          <w:tcPr>
            <w:tcW w:type="dxa" w:w="5814"/>
          </w:tcPr>
          <w:p>
            <w:pPr>
              <w:pStyle w:val="null3"/>
              <w:jc w:val="both"/>
            </w:pPr>
            <w:r>
              <w:rPr>
                <w:sz w:val="21"/>
              </w:rPr>
              <w:t>⑯SM2 解密不少于 6Kbps。</w:t>
            </w:r>
          </w:p>
        </w:tc>
      </w:tr>
      <w:tr>
        <w:tc>
          <w:tcPr>
            <w:tcW w:type="dxa" w:w="2076"/>
          </w:tcPr>
          <w:p/>
        </w:tc>
        <w:tc>
          <w:tcPr>
            <w:tcW w:type="dxa" w:w="415"/>
          </w:tcPr>
          <w:p>
            <w:pPr>
              <w:pStyle w:val="null3"/>
            </w:pPr>
            <w:r>
              <w:rPr/>
              <w:t>22</w:t>
            </w:r>
          </w:p>
        </w:tc>
        <w:tc>
          <w:tcPr>
            <w:tcW w:type="dxa" w:w="5814"/>
          </w:tcPr>
          <w:p>
            <w:pPr>
              <w:pStyle w:val="null3"/>
              <w:jc w:val="both"/>
            </w:pPr>
            <w:r>
              <w:rPr>
                <w:sz w:val="21"/>
              </w:rPr>
              <w:t>⑰SM3 摘要不少于 19Kbps。</w:t>
            </w:r>
          </w:p>
        </w:tc>
      </w:tr>
      <w:tr>
        <w:tc>
          <w:tcPr>
            <w:tcW w:type="dxa" w:w="2076"/>
          </w:tcPr>
          <w:p/>
        </w:tc>
        <w:tc>
          <w:tcPr>
            <w:tcW w:type="dxa" w:w="415"/>
          </w:tcPr>
          <w:p>
            <w:pPr>
              <w:pStyle w:val="null3"/>
            </w:pPr>
            <w:r>
              <w:rPr/>
              <w:t>23</w:t>
            </w:r>
          </w:p>
        </w:tc>
        <w:tc>
          <w:tcPr>
            <w:tcW w:type="dxa" w:w="5814"/>
          </w:tcPr>
          <w:p>
            <w:pPr>
              <w:pStyle w:val="null3"/>
              <w:jc w:val="both"/>
            </w:pPr>
            <w:r>
              <w:rPr>
                <w:sz w:val="21"/>
              </w:rPr>
              <w:t>⑱SM1 加解密不少于 13Kbps。</w:t>
            </w:r>
          </w:p>
        </w:tc>
      </w:tr>
      <w:tr>
        <w:tc>
          <w:tcPr>
            <w:tcW w:type="dxa" w:w="2076"/>
          </w:tcPr>
          <w:p/>
        </w:tc>
        <w:tc>
          <w:tcPr>
            <w:tcW w:type="dxa" w:w="415"/>
          </w:tcPr>
          <w:p>
            <w:pPr>
              <w:pStyle w:val="null3"/>
            </w:pPr>
            <w:r>
              <w:rPr/>
              <w:t>24</w:t>
            </w:r>
          </w:p>
        </w:tc>
        <w:tc>
          <w:tcPr>
            <w:tcW w:type="dxa" w:w="5814"/>
          </w:tcPr>
          <w:p>
            <w:pPr>
              <w:pStyle w:val="null3"/>
              <w:jc w:val="both"/>
            </w:pPr>
            <w:r>
              <w:rPr>
                <w:sz w:val="21"/>
              </w:rPr>
              <w:t>⑲SM4 加解密不少于 10Mbps。</w:t>
            </w:r>
          </w:p>
        </w:tc>
      </w:tr>
      <w:tr>
        <w:tc>
          <w:tcPr>
            <w:tcW w:type="dxa" w:w="2076"/>
          </w:tcPr>
          <w:p/>
        </w:tc>
        <w:tc>
          <w:tcPr>
            <w:tcW w:type="dxa" w:w="415"/>
          </w:tcPr>
          <w:p>
            <w:pPr>
              <w:pStyle w:val="null3"/>
            </w:pPr>
            <w:r>
              <w:rPr/>
              <w:t>25</w:t>
            </w:r>
          </w:p>
        </w:tc>
        <w:tc>
          <w:tcPr>
            <w:tcW w:type="dxa" w:w="5814"/>
          </w:tcPr>
          <w:p>
            <w:pPr>
              <w:pStyle w:val="null3"/>
              <w:jc w:val="both"/>
            </w:pPr>
            <w:r>
              <w:rPr>
                <w:sz w:val="21"/>
              </w:rPr>
              <w:t>⑳工作温度：-25℃到+85℃；存放温度：-40℃到+125℃。</w:t>
            </w:r>
          </w:p>
        </w:tc>
      </w:tr>
      <w:tr>
        <w:tc>
          <w:tcPr>
            <w:tcW w:type="dxa" w:w="2076"/>
          </w:tcPr>
          <w:p/>
        </w:tc>
        <w:tc>
          <w:tcPr>
            <w:tcW w:type="dxa" w:w="415"/>
          </w:tcPr>
          <w:p>
            <w:pPr>
              <w:pStyle w:val="null3"/>
            </w:pPr>
            <w:r>
              <w:rPr/>
              <w:t>26</w:t>
            </w:r>
          </w:p>
        </w:tc>
        <w:tc>
          <w:tcPr>
            <w:tcW w:type="dxa" w:w="5814"/>
          </w:tcPr>
          <w:p>
            <w:pPr>
              <w:pStyle w:val="null3"/>
              <w:jc w:val="both"/>
            </w:pPr>
            <w:r>
              <w:rPr>
                <w:sz w:val="21"/>
              </w:rPr>
              <w:t>3）认证需求</w:t>
            </w:r>
            <w:r>
              <w:rPr>
                <w:sz w:val="21"/>
              </w:rPr>
              <w:t>：</w:t>
            </w:r>
            <w:r>
              <w:rPr>
                <w:sz w:val="21"/>
              </w:rPr>
              <w:t>具备等保三级备案证明（提供证书复印件（或扫描件）并加盖厂商公章）；</w:t>
            </w:r>
            <w:r>
              <w:rPr>
                <w:sz w:val="21"/>
              </w:rPr>
              <w:t>在</w:t>
            </w:r>
            <w:r>
              <w:rPr>
                <w:sz w:val="21"/>
              </w:rPr>
              <w:t>安全水平的移动通信服务平台实现身份认证能力；</w:t>
            </w:r>
          </w:p>
        </w:tc>
      </w:tr>
      <w:tr>
        <w:tc>
          <w:tcPr>
            <w:tcW w:type="dxa" w:w="2076"/>
          </w:tcPr>
          <w:p>
            <w:pPr>
              <w:pStyle w:val="null3"/>
            </w:pPr>
            <w:r>
              <w:rPr/>
              <w:t>▲</w:t>
            </w:r>
          </w:p>
        </w:tc>
        <w:tc>
          <w:tcPr>
            <w:tcW w:type="dxa" w:w="415"/>
          </w:tcPr>
          <w:p>
            <w:pPr>
              <w:pStyle w:val="null3"/>
            </w:pPr>
            <w:r>
              <w:rPr/>
              <w:t>27</w:t>
            </w:r>
          </w:p>
        </w:tc>
        <w:tc>
          <w:tcPr>
            <w:tcW w:type="dxa" w:w="5814"/>
          </w:tcPr>
          <w:p>
            <w:pPr>
              <w:pStyle w:val="null3"/>
              <w:jc w:val="both"/>
            </w:pPr>
            <w:r>
              <w:rPr>
                <w:sz w:val="21"/>
              </w:rPr>
              <w:t>①安全加密卡应具有国家密码管理部门颁发的商用密码产品认证证书（提供复印件（或扫描件）并加盖厂家公章）。</w:t>
            </w:r>
          </w:p>
        </w:tc>
      </w:tr>
      <w:tr>
        <w:tc>
          <w:tcPr>
            <w:tcW w:type="dxa" w:w="2076"/>
          </w:tcPr>
          <w:p>
            <w:pPr>
              <w:pStyle w:val="null3"/>
            </w:pPr>
            <w:r>
              <w:rPr/>
              <w:t>▲</w:t>
            </w:r>
          </w:p>
        </w:tc>
        <w:tc>
          <w:tcPr>
            <w:tcW w:type="dxa" w:w="415"/>
          </w:tcPr>
          <w:p>
            <w:pPr>
              <w:pStyle w:val="null3"/>
            </w:pPr>
            <w:r>
              <w:rPr/>
              <w:t>28</w:t>
            </w:r>
          </w:p>
        </w:tc>
        <w:tc>
          <w:tcPr>
            <w:tcW w:type="dxa" w:w="5814"/>
          </w:tcPr>
          <w:p>
            <w:pPr>
              <w:pStyle w:val="null3"/>
              <w:jc w:val="both"/>
            </w:pPr>
            <w:r>
              <w:rPr>
                <w:sz w:val="21"/>
              </w:rPr>
              <w:t>②为满足国产化和安全性，安全加密卡采用的安全芯片应为国内厂商自主研发。</w:t>
            </w:r>
          </w:p>
        </w:tc>
      </w:tr>
      <w:tr>
        <w:tc>
          <w:tcPr>
            <w:tcW w:type="dxa" w:w="2076"/>
          </w:tcPr>
          <w:p>
            <w:pPr>
              <w:pStyle w:val="null3"/>
            </w:pPr>
            <w:r>
              <w:rPr/>
              <w:t>★</w:t>
            </w:r>
          </w:p>
        </w:tc>
        <w:tc>
          <w:tcPr>
            <w:tcW w:type="dxa" w:w="415"/>
          </w:tcPr>
          <w:p>
            <w:pPr>
              <w:pStyle w:val="null3"/>
            </w:pPr>
            <w:r>
              <w:rPr/>
              <w:t>29</w:t>
            </w:r>
          </w:p>
        </w:tc>
        <w:tc>
          <w:tcPr>
            <w:tcW w:type="dxa" w:w="5814"/>
          </w:tcPr>
          <w:p>
            <w:pPr>
              <w:pStyle w:val="null3"/>
              <w:ind w:right="180"/>
              <w:jc w:val="both"/>
            </w:pPr>
            <w:r>
              <w:rPr>
                <w:sz w:val="21"/>
              </w:rPr>
              <w:t>6.备件服务</w:t>
            </w:r>
          </w:p>
          <w:p>
            <w:pPr>
              <w:pStyle w:val="null3"/>
              <w:ind w:right="180"/>
              <w:jc w:val="both"/>
            </w:pPr>
            <w:r>
              <w:rPr>
                <w:sz w:val="21"/>
              </w:rPr>
              <w:t>（</w:t>
            </w:r>
            <w:r>
              <w:rPr>
                <w:sz w:val="21"/>
              </w:rPr>
              <w:t>1）如中标人提供的安全加密卡与SIM卡合二为一且无法变更用户号码信息，中标人需按20%的数量提供备用安全加密卡服务，以满足采购人用户变更和调整需要（备件须放置于采购人指定地点，备件投入使用后，中标人需重新提供新备件。采购人有权随时抽查）。</w:t>
            </w:r>
          </w:p>
          <w:p>
            <w:pPr>
              <w:pStyle w:val="null3"/>
              <w:ind w:right="180"/>
              <w:jc w:val="both"/>
            </w:pPr>
            <w:r>
              <w:rPr>
                <w:sz w:val="21"/>
              </w:rPr>
              <w:t>（</w:t>
            </w:r>
            <w:r>
              <w:rPr>
                <w:sz w:val="21"/>
              </w:rPr>
              <w:t>2）根据用户要求，对满电电量低于额定电量85%的终端，免费更换原装电池1次。</w:t>
            </w:r>
          </w:p>
          <w:p>
            <w:pPr>
              <w:pStyle w:val="null3"/>
              <w:ind w:right="180"/>
              <w:jc w:val="both"/>
            </w:pPr>
            <w:r>
              <w:rPr>
                <w:sz w:val="21"/>
              </w:rPr>
              <w:t>（</w:t>
            </w:r>
            <w:r>
              <w:rPr>
                <w:sz w:val="21"/>
              </w:rPr>
              <w:t>3）提供配套四角气囊手机保护壳、每年贴膜、消毒等服务。</w:t>
            </w:r>
          </w:p>
          <w:p>
            <w:pPr>
              <w:pStyle w:val="null3"/>
              <w:jc w:val="both"/>
            </w:pPr>
            <w:r>
              <w:rPr>
                <w:sz w:val="21"/>
              </w:rPr>
              <w:t>（</w:t>
            </w:r>
            <w:r>
              <w:rPr>
                <w:sz w:val="21"/>
              </w:rPr>
              <w:t>4）若出现安全加密卡损坏，中标人需免费更换。</w:t>
            </w:r>
          </w:p>
        </w:tc>
      </w:tr>
      <w:tr>
        <w:tc>
          <w:tcPr>
            <w:tcW w:type="dxa" w:w="2076"/>
          </w:tcPr>
          <w:p>
            <w:pPr>
              <w:pStyle w:val="null3"/>
            </w:pPr>
            <w:r>
              <w:rPr/>
              <w:t>★</w:t>
            </w:r>
          </w:p>
        </w:tc>
        <w:tc>
          <w:tcPr>
            <w:tcW w:type="dxa" w:w="415"/>
          </w:tcPr>
          <w:p>
            <w:pPr>
              <w:pStyle w:val="null3"/>
            </w:pPr>
            <w:r>
              <w:rPr/>
              <w:t>30</w:t>
            </w:r>
          </w:p>
        </w:tc>
        <w:tc>
          <w:tcPr>
            <w:tcW w:type="dxa" w:w="5814"/>
          </w:tcPr>
          <w:p>
            <w:pPr>
              <w:pStyle w:val="null3"/>
              <w:ind w:right="180"/>
              <w:jc w:val="both"/>
            </w:pPr>
            <w:r>
              <w:rPr>
                <w:sz w:val="21"/>
              </w:rPr>
              <w:t>二、省市互联链路维护</w:t>
            </w:r>
          </w:p>
          <w:p>
            <w:pPr>
              <w:pStyle w:val="null3"/>
              <w:ind w:right="180"/>
              <w:jc w:val="both"/>
            </w:pPr>
            <w:r>
              <w:rPr>
                <w:sz w:val="21"/>
              </w:rPr>
              <w:t>对网络进行维护，需从</w:t>
            </w:r>
            <w:r>
              <w:rPr>
                <w:sz w:val="21"/>
              </w:rPr>
              <w:t>中山市公安局古镇分局</w:t>
            </w:r>
            <w:r>
              <w:rPr>
                <w:sz w:val="21"/>
              </w:rPr>
              <w:t>延伸移动信息网至中山市公安局运维中心，维护链路如下表：</w:t>
            </w:r>
          </w:p>
          <w:tbl>
            <w:tblPr>
              <w:tblInd w:type="dxa" w:w="240"/>
              <w:tblBorders>
                <w:top w:val="none" w:color="000000" w:sz="4"/>
                <w:left w:val="none" w:color="000000" w:sz="4"/>
                <w:bottom w:val="none" w:color="000000" w:sz="4"/>
                <w:right w:val="none" w:color="000000" w:sz="4"/>
                <w:insideH w:val="none"/>
                <w:insideV w:val="none"/>
              </w:tblBorders>
            </w:tblPr>
            <w:tblGrid>
              <w:gridCol w:w="771"/>
              <w:gridCol w:w="2975"/>
              <w:gridCol w:w="1852"/>
            </w:tblGrid>
            <w:tr>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right="120"/>
                    <w:jc w:val="center"/>
                  </w:pPr>
                  <w:r>
                    <w:rPr>
                      <w:sz w:val="21"/>
                    </w:rPr>
                    <w:t>序号</w:t>
                  </w:r>
                </w:p>
              </w:tc>
              <w:tc>
                <w:tcPr>
                  <w:tcW w:type="dxa" w:w="2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left="120" w:right="120"/>
                    <w:jc w:val="center"/>
                  </w:pPr>
                  <w:r>
                    <w:rPr>
                      <w:sz w:val="21"/>
                    </w:rPr>
                    <w:t>链路名称</w:t>
                  </w:r>
                </w:p>
              </w:tc>
              <w:tc>
                <w:tcPr>
                  <w:tcW w:type="dxa" w:w="18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left="120" w:right="120"/>
                    <w:jc w:val="center"/>
                  </w:pPr>
                  <w:r>
                    <w:rPr>
                      <w:sz w:val="21"/>
                    </w:rPr>
                    <w:t>带宽大小</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left="120" w:right="120"/>
                    <w:jc w:val="center"/>
                  </w:pPr>
                  <w:r>
                    <w:rPr>
                      <w:sz w:val="21"/>
                    </w:rPr>
                    <w:t>1</w:t>
                  </w:r>
                </w:p>
              </w:tc>
              <w:tc>
                <w:tcPr>
                  <w:tcW w:type="dxa" w:w="2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left="120" w:right="120"/>
                    <w:jc w:val="center"/>
                  </w:pPr>
                  <w:r>
                    <w:rPr>
                      <w:sz w:val="21"/>
                    </w:rPr>
                    <w:t>移动警务终端到中山市移动警务系统</w:t>
                  </w:r>
                  <w:r>
                    <w:rPr>
                      <w:sz w:val="21"/>
                    </w:rPr>
                    <w:t>(VPN无线连接)</w:t>
                  </w:r>
                </w:p>
              </w:tc>
              <w:tc>
                <w:tcPr>
                  <w:tcW w:type="dxa" w:w="1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left="120" w:right="120"/>
                    <w:jc w:val="center"/>
                  </w:pPr>
                  <w:r>
                    <w:rPr>
                      <w:sz w:val="21"/>
                    </w:rPr>
                    <w:t>3Gb带宽链路</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left="120" w:right="120"/>
                    <w:jc w:val="center"/>
                  </w:pPr>
                  <w:r>
                    <w:rPr>
                      <w:sz w:val="21"/>
                    </w:rPr>
                    <w:t>2</w:t>
                  </w:r>
                </w:p>
              </w:tc>
              <w:tc>
                <w:tcPr>
                  <w:tcW w:type="dxa" w:w="2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left="120" w:right="120"/>
                    <w:jc w:val="center"/>
                  </w:pPr>
                  <w:r>
                    <w:rPr>
                      <w:sz w:val="21"/>
                    </w:rPr>
                    <w:t>中山市移动警务系统到广东省公安厅身份认证及安全接入</w:t>
                  </w:r>
                </w:p>
              </w:tc>
              <w:tc>
                <w:tcPr>
                  <w:tcW w:type="dxa" w:w="1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left="120" w:right="120"/>
                    <w:jc w:val="center"/>
                  </w:pPr>
                  <w:r>
                    <w:rPr>
                      <w:sz w:val="21"/>
                    </w:rPr>
                    <w:t>3Gb带宽链路</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left="120" w:right="120"/>
                    <w:jc w:val="center"/>
                  </w:pPr>
                  <w:r>
                    <w:rPr>
                      <w:sz w:val="21"/>
                    </w:rPr>
                    <w:t>3</w:t>
                  </w:r>
                </w:p>
              </w:tc>
              <w:tc>
                <w:tcPr>
                  <w:tcW w:type="dxa" w:w="2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left="120" w:right="120"/>
                    <w:jc w:val="center"/>
                  </w:pPr>
                  <w:r>
                    <w:rPr>
                      <w:sz w:val="21"/>
                    </w:rPr>
                    <w:t>中山市移动警务系统到中山本地视频专网（配合边界平台）</w:t>
                  </w:r>
                </w:p>
              </w:tc>
              <w:tc>
                <w:tcPr>
                  <w:tcW w:type="dxa" w:w="1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left="120" w:right="120"/>
                    <w:jc w:val="center"/>
                  </w:pPr>
                  <w:r>
                    <w:rPr>
                      <w:sz w:val="21"/>
                    </w:rPr>
                    <w:t>3Gb带宽链路</w:t>
                  </w:r>
                </w:p>
              </w:tc>
            </w:tr>
          </w:tbl>
          <w:p/>
        </w:tc>
      </w:tr>
      <w:tr>
        <w:tc>
          <w:tcPr>
            <w:tcW w:type="dxa" w:w="2076"/>
          </w:tcPr>
          <w:p/>
        </w:tc>
        <w:tc>
          <w:tcPr>
            <w:tcW w:type="dxa" w:w="415"/>
          </w:tcPr>
          <w:p>
            <w:pPr>
              <w:pStyle w:val="null3"/>
            </w:pPr>
            <w:r>
              <w:rPr/>
              <w:t>31</w:t>
            </w:r>
          </w:p>
        </w:tc>
        <w:tc>
          <w:tcPr>
            <w:tcW w:type="dxa" w:w="5814"/>
          </w:tcPr>
          <w:p>
            <w:pPr>
              <w:pStyle w:val="null3"/>
              <w:jc w:val="both"/>
            </w:pPr>
            <w:r>
              <w:rPr>
                <w:sz w:val="21"/>
              </w:rPr>
              <w:t>1.提供平台定期巡检、故障检查、故障诊断、数据整理、数据备份迁移、服务联调等工作；提供在线7*24小时在线支持服务。</w:t>
            </w:r>
          </w:p>
        </w:tc>
      </w:tr>
      <w:tr>
        <w:tc>
          <w:tcPr>
            <w:tcW w:type="dxa" w:w="2076"/>
          </w:tcPr>
          <w:p/>
        </w:tc>
        <w:tc>
          <w:tcPr>
            <w:tcW w:type="dxa" w:w="415"/>
          </w:tcPr>
          <w:p>
            <w:pPr>
              <w:pStyle w:val="null3"/>
            </w:pPr>
            <w:r>
              <w:rPr/>
              <w:t>32</w:t>
            </w:r>
          </w:p>
        </w:tc>
        <w:tc>
          <w:tcPr>
            <w:tcW w:type="dxa" w:w="5814"/>
          </w:tcPr>
          <w:p>
            <w:pPr>
              <w:pStyle w:val="null3"/>
              <w:jc w:val="both"/>
            </w:pPr>
            <w:r>
              <w:rPr>
                <w:sz w:val="21"/>
              </w:rPr>
              <w:t>2.移动平台终端软件版本配合省厅平台定期升级服务，包括新终端适配、软件功能升级、应用测试和适配、平台功能迭代升级等服务。</w:t>
            </w:r>
          </w:p>
        </w:tc>
      </w:tr>
      <w:tr>
        <w:tc>
          <w:tcPr>
            <w:tcW w:type="dxa" w:w="2076"/>
          </w:tcPr>
          <w:p/>
        </w:tc>
        <w:tc>
          <w:tcPr>
            <w:tcW w:type="dxa" w:w="415"/>
          </w:tcPr>
          <w:p>
            <w:pPr>
              <w:pStyle w:val="null3"/>
            </w:pPr>
            <w:r>
              <w:rPr/>
              <w:t>33</w:t>
            </w:r>
          </w:p>
        </w:tc>
        <w:tc>
          <w:tcPr>
            <w:tcW w:type="dxa" w:w="5814"/>
          </w:tcPr>
          <w:p>
            <w:pPr>
              <w:pStyle w:val="null3"/>
              <w:jc w:val="both"/>
            </w:pPr>
            <w:r>
              <w:rPr>
                <w:sz w:val="21"/>
              </w:rPr>
              <w:t>3.按需求提供相应的移动警务终端服务、移动警务通信服务、流量套餐配置服务、MDM 终端安全管控服务、安装服务、运维服务，并提供相应的业务办理服务及保障。</w:t>
            </w:r>
          </w:p>
        </w:tc>
      </w:tr>
      <w:tr>
        <w:tc>
          <w:tcPr>
            <w:tcW w:type="dxa" w:w="2076"/>
          </w:tcPr>
          <w:p/>
        </w:tc>
        <w:tc>
          <w:tcPr>
            <w:tcW w:type="dxa" w:w="415"/>
          </w:tcPr>
          <w:p>
            <w:pPr>
              <w:pStyle w:val="null3"/>
            </w:pPr>
            <w:r>
              <w:rPr/>
              <w:t>34</w:t>
            </w:r>
          </w:p>
        </w:tc>
        <w:tc>
          <w:tcPr>
            <w:tcW w:type="dxa" w:w="5814"/>
          </w:tcPr>
          <w:p>
            <w:pPr>
              <w:pStyle w:val="null3"/>
              <w:jc w:val="both"/>
            </w:pPr>
            <w:r>
              <w:rPr>
                <w:sz w:val="21"/>
              </w:rPr>
              <w:t>4.中标人必须向采购人提供本项目采购的所有软件模块的安装、测试和维护服务的全部内容。</w:t>
            </w:r>
          </w:p>
        </w:tc>
      </w:tr>
      <w:tr>
        <w:tc>
          <w:tcPr>
            <w:tcW w:type="dxa" w:w="2076"/>
          </w:tcPr>
          <w:p/>
        </w:tc>
        <w:tc>
          <w:tcPr>
            <w:tcW w:type="dxa" w:w="415"/>
          </w:tcPr>
          <w:p>
            <w:pPr>
              <w:pStyle w:val="null3"/>
            </w:pPr>
            <w:r>
              <w:rPr/>
              <w:t>35</w:t>
            </w:r>
          </w:p>
        </w:tc>
        <w:tc>
          <w:tcPr>
            <w:tcW w:type="dxa" w:w="5814"/>
          </w:tcPr>
          <w:p>
            <w:pPr>
              <w:pStyle w:val="null3"/>
              <w:jc w:val="both"/>
            </w:pPr>
            <w:r>
              <w:rPr>
                <w:sz w:val="21"/>
              </w:rPr>
              <w:t>5.中标人须提供项目所有管理、实施、服务人员的社保证明给采购人审核后方可进场。</w:t>
            </w:r>
          </w:p>
        </w:tc>
      </w:tr>
      <w:tr>
        <w:tc>
          <w:tcPr>
            <w:tcW w:type="dxa" w:w="2076"/>
          </w:tcPr>
          <w:p/>
        </w:tc>
        <w:tc>
          <w:tcPr>
            <w:tcW w:type="dxa" w:w="415"/>
          </w:tcPr>
          <w:p>
            <w:pPr>
              <w:pStyle w:val="null3"/>
            </w:pPr>
            <w:r>
              <w:rPr/>
              <w:t>36</w:t>
            </w:r>
          </w:p>
        </w:tc>
        <w:tc>
          <w:tcPr>
            <w:tcW w:type="dxa" w:w="5814"/>
          </w:tcPr>
          <w:p>
            <w:pPr>
              <w:pStyle w:val="null3"/>
              <w:jc w:val="both"/>
            </w:pPr>
            <w:r>
              <w:rPr>
                <w:sz w:val="21"/>
              </w:rPr>
              <w:t>6.服务期内，中标人对提供的软硬件产品提供质量保证服务及产品免费技术支持售后服务。</w:t>
            </w:r>
          </w:p>
        </w:tc>
      </w:tr>
      <w:tr>
        <w:tc>
          <w:tcPr>
            <w:tcW w:type="dxa" w:w="2076"/>
          </w:tcPr>
          <w:p>
            <w:pPr>
              <w:pStyle w:val="null3"/>
            </w:pPr>
            <w:r>
              <w:rPr/>
              <w:t>▲</w:t>
            </w:r>
          </w:p>
        </w:tc>
        <w:tc>
          <w:tcPr>
            <w:tcW w:type="dxa" w:w="415"/>
          </w:tcPr>
          <w:p>
            <w:pPr>
              <w:pStyle w:val="null3"/>
            </w:pPr>
            <w:r>
              <w:rPr/>
              <w:t>37</w:t>
            </w:r>
          </w:p>
        </w:tc>
        <w:tc>
          <w:tcPr>
            <w:tcW w:type="dxa" w:w="5814"/>
          </w:tcPr>
          <w:p>
            <w:pPr>
              <w:pStyle w:val="null3"/>
              <w:ind w:right="180"/>
              <w:jc w:val="both"/>
            </w:pPr>
            <w:r>
              <w:rPr>
                <w:sz w:val="21"/>
              </w:rPr>
              <w:t>三</w:t>
            </w:r>
            <w:r>
              <w:rPr>
                <w:sz w:val="21"/>
              </w:rPr>
              <w:t>、应急响应时间</w:t>
            </w:r>
          </w:p>
          <w:p>
            <w:pPr>
              <w:pStyle w:val="null3"/>
              <w:jc w:val="both"/>
            </w:pPr>
            <w:r>
              <w:rPr>
                <w:sz w:val="21"/>
              </w:rPr>
              <w:t>中标人提供相应的业务服务及保障。在重大活动安保及节假日期间，能根据采购人的要求，做好支撑保障，必要时能根据要求到现场提供技术支持。工作日要求运维人员</w:t>
            </w:r>
            <w:r>
              <w:rPr>
                <w:sz w:val="21"/>
              </w:rPr>
              <w:t>5分钟内响应，10分钟内开展故障排查，30分钟内定位问题，1小时内解决问题，如硬件故障要求2小时内提供备用硬件到达现场更换。非工作日要求10分钟响应，30分钟内到达现场，2小时内解决问题，如硬件故障要求</w:t>
            </w:r>
            <w:r>
              <w:rPr>
                <w:sz w:val="21"/>
              </w:rPr>
              <w:t>6</w:t>
            </w:r>
            <w:r>
              <w:rPr>
                <w:sz w:val="21"/>
              </w:rPr>
              <w:t>小时内提供备用硬件到达现场更换。</w:t>
            </w:r>
          </w:p>
        </w:tc>
      </w:tr>
      <w:tr>
        <w:tc>
          <w:tcPr>
            <w:tcW w:type="dxa" w:w="2076"/>
          </w:tcPr>
          <w:p/>
        </w:tc>
        <w:tc>
          <w:tcPr>
            <w:tcW w:type="dxa" w:w="415"/>
          </w:tcPr>
          <w:p>
            <w:pPr>
              <w:pStyle w:val="null3"/>
            </w:pPr>
            <w:r>
              <w:rPr/>
              <w:t>38</w:t>
            </w:r>
          </w:p>
        </w:tc>
        <w:tc>
          <w:tcPr>
            <w:tcW w:type="dxa" w:w="5814"/>
          </w:tcPr>
          <w:p>
            <w:pPr>
              <w:pStyle w:val="null3"/>
              <w:ind w:left="180" w:right="180"/>
              <w:jc w:val="both"/>
            </w:pPr>
            <w:r>
              <w:rPr>
                <w:sz w:val="21"/>
              </w:rPr>
              <w:t>四</w:t>
            </w:r>
            <w:r>
              <w:rPr>
                <w:sz w:val="21"/>
              </w:rPr>
              <w:t>、设备清单</w:t>
            </w:r>
          </w:p>
          <w:tbl>
            <w:tblPr>
              <w:tblInd w:type="dxa" w:w="120"/>
              <w:tblBorders>
                <w:top w:val="none" w:color="000000" w:sz="4"/>
                <w:left w:val="none" w:color="000000" w:sz="4"/>
                <w:bottom w:val="none" w:color="000000" w:sz="4"/>
                <w:right w:val="none" w:color="000000" w:sz="4"/>
                <w:insideH w:val="none"/>
                <w:insideV w:val="none"/>
              </w:tblBorders>
            </w:tblPr>
            <w:tblGrid>
              <w:gridCol w:w="420"/>
              <w:gridCol w:w="690"/>
              <w:gridCol w:w="2670"/>
              <w:gridCol w:w="420"/>
              <w:gridCol w:w="525"/>
              <w:gridCol w:w="840"/>
            </w:tblGrid>
            <w:tr>
              <w:tc>
                <w:tcPr>
                  <w:tcW w:type="dxa" w:w="4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序号</w:t>
                  </w:r>
                </w:p>
              </w:tc>
              <w:tc>
                <w:tcPr>
                  <w:tcW w:type="dxa" w:w="6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服务名称</w:t>
                  </w:r>
                </w:p>
              </w:tc>
              <w:tc>
                <w:tcPr>
                  <w:tcW w:type="dxa" w:w="26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具体内容</w:t>
                  </w:r>
                </w:p>
              </w:tc>
              <w:tc>
                <w:tcPr>
                  <w:tcW w:type="dxa" w:w="4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单位</w:t>
                  </w:r>
                </w:p>
              </w:tc>
              <w:tc>
                <w:tcPr>
                  <w:tcW w:type="dxa" w:w="5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数量</w:t>
                  </w:r>
                </w:p>
              </w:tc>
              <w:tc>
                <w:tcPr>
                  <w:tcW w:type="dxa" w:w="8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服务时间（月）</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月套餐</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警务通：</w:t>
                  </w:r>
                </w:p>
                <w:p>
                  <w:pPr>
                    <w:pStyle w:val="null3"/>
                    <w:jc w:val="both"/>
                  </w:pPr>
                  <w:r>
                    <w:rPr>
                      <w:sz w:val="21"/>
                    </w:rPr>
                    <w:t>1.每月通话不少于700分钟、100条短信、30G互联网流量、30G移动警务专网流量(全局用户专网流量形成流量池，各用户从流量池中使用专网流量)。当月互联网流量、专网流量未用完则结转下个月使用。本项目内警务通手机号码互打免费。</w:t>
                  </w:r>
                </w:p>
                <w:p>
                  <w:pPr>
                    <w:pStyle w:val="null3"/>
                    <w:jc w:val="both"/>
                  </w:pPr>
                  <w:r>
                    <w:rPr>
                      <w:sz w:val="21"/>
                    </w:rPr>
                    <w:t>★</w:t>
                  </w:r>
                  <w:r>
                    <w:rPr>
                      <w:sz w:val="21"/>
                      <w:b/>
                    </w:rPr>
                    <w:t>2.本项目服务期满后若中标人未中标下一期运维服务项目，需根据采购人要求无条件按照相关法规将所提供本项目的移动通信号码转网至其他运营商。</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双系统移动终端</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1.满足公安部《智能手机型移动警务终端第1部分:增强受控终端或多模式终端技术要求》（GA/T1466.1-2018）《智能手机型移动警务终端第2部分：安全监控组件技术规范》（GA/T1466.2-2018）要求。</w:t>
                  </w:r>
                </w:p>
                <w:p>
                  <w:pPr>
                    <w:pStyle w:val="null3"/>
                    <w:jc w:val="both"/>
                  </w:pPr>
                  <w:r>
                    <w:rPr>
                      <w:sz w:val="21"/>
                    </w:rPr>
                    <w:t>2.性能要求：详见“终端设备清单”。</w:t>
                  </w:r>
                </w:p>
                <w:p>
                  <w:pPr>
                    <w:pStyle w:val="null3"/>
                    <w:jc w:val="both"/>
                  </w:pPr>
                  <w:r>
                    <w:rPr>
                      <w:sz w:val="21"/>
                      <w:b/>
                    </w:rPr>
                    <w:t>★3.如中标终端机型停产，中标人需提供同品牌同等或更高性能或更高价格（以手机厂家官网价格为准）的替代合规机型。</w:t>
                  </w:r>
                </w:p>
                <w:p>
                  <w:pPr>
                    <w:pStyle w:val="null3"/>
                    <w:jc w:val="both"/>
                  </w:pPr>
                  <w:r>
                    <w:rPr>
                      <w:sz w:val="21"/>
                      <w:b/>
                    </w:rPr>
                    <w:t>★4.中标人另需提供同款或同品牌更高端备用机，其中终端A备用机数量为租赁总数量的1%，终端B备用机数量为租赁总数量的10%。（不满1台需向上折算成1台）</w:t>
                  </w:r>
                </w:p>
                <w:p>
                  <w:pPr>
                    <w:pStyle w:val="null3"/>
                    <w:jc w:val="both"/>
                  </w:pPr>
                  <w:r>
                    <w:rPr>
                      <w:sz w:val="21"/>
                    </w:rPr>
                    <w:t>5.服务期内，本项目所租赁的软硬件中标人均需免费维保（维修时需免费提供同型号或同品牌符合要求更高型号维修备用机）。</w:t>
                  </w:r>
                </w:p>
                <w:p>
                  <w:pPr>
                    <w:pStyle w:val="null3"/>
                    <w:jc w:val="left"/>
                  </w:pPr>
                  <w:r>
                    <w:rPr>
                      <w:sz w:val="21"/>
                    </w:rPr>
                    <w:t>6.根据采购人要求定制开机动画。</w:t>
                  </w:r>
                </w:p>
                <w:p>
                  <w:pPr>
                    <w:pStyle w:val="null3"/>
                    <w:jc w:val="both"/>
                  </w:pPr>
                  <w:r>
                    <w:rPr>
                      <w:sz w:val="21"/>
                    </w:rPr>
                    <w:t>7.服务期满后终端自然报废，不回收。</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安全加密卡服务</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w:t>
                  </w:r>
                  <w:r>
                    <w:rPr>
                      <w:sz w:val="21"/>
                    </w:rPr>
                    <w:t>“安全加密卡服务需求”。</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MDM终端安全管控服务</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1.开放平台API功能：提供管控能力开放 API，方便与统一业务平台和安全接入平台系统进行对接集成。还可以对界面进行定制化。</w:t>
                  </w:r>
                </w:p>
                <w:p>
                  <w:pPr>
                    <w:pStyle w:val="null3"/>
                    <w:jc w:val="both"/>
                  </w:pPr>
                  <w:r>
                    <w:rPr>
                      <w:sz w:val="21"/>
                      <w:b/>
                    </w:rPr>
                    <w:t>▲</w:t>
                  </w:r>
                  <w:r>
                    <w:rPr>
                      <w:sz w:val="21"/>
                    </w:rPr>
                    <w:t>2.客户端SDK 能力：以SDK的形式提供所有客户端功能。公安自行开发的或者第三方警务应用均可以集成该SDK实现设备管理的功能。</w:t>
                  </w:r>
                </w:p>
                <w:p>
                  <w:pPr>
                    <w:pStyle w:val="null3"/>
                    <w:jc w:val="both"/>
                  </w:pPr>
                  <w:r>
                    <w:rPr>
                      <w:sz w:val="21"/>
                    </w:rPr>
                    <w:t>3.大屏显示：支持在系统首页大屏显示系统关键数据，包括：设备状态、用户信息、系统状态监控、设备状态、设备违规情况、策略执行情况、应用安装情况等关键数据显示。</w:t>
                  </w:r>
                </w:p>
                <w:p>
                  <w:pPr>
                    <w:pStyle w:val="null3"/>
                    <w:jc w:val="both"/>
                  </w:pPr>
                  <w:r>
                    <w:rPr>
                      <w:sz w:val="21"/>
                    </w:rPr>
                    <w:t>4.在线帮助：管理平台支持在线帮助的功能，在每个页面上点击右上角的问号，即可在浏览器新的Tab页打开当前所在页面的帮助信息。帮助信息包括每个功能页面的菜单导航操作、功能说明、FAQ、常用名词解释等信息。</w:t>
                  </w:r>
                </w:p>
                <w:p>
                  <w:pPr>
                    <w:pStyle w:val="null3"/>
                    <w:jc w:val="both"/>
                  </w:pPr>
                  <w:r>
                    <w:rPr>
                      <w:sz w:val="21"/>
                    </w:rPr>
                    <w:t>5.管理员分级权限细分至操作：管理平台提供的权限模板可以将权限分配至每个模块下面对应的操作，实现更细粒度的控制。同时，管理员还可以选择不同的权限模板快速创建下级管理员。</w:t>
                  </w:r>
                </w:p>
                <w:p>
                  <w:pPr>
                    <w:pStyle w:val="null3"/>
                    <w:jc w:val="both"/>
                  </w:pPr>
                  <w:r>
                    <w:rPr>
                      <w:sz w:val="21"/>
                    </w:rPr>
                    <w:t>6.移动控制台：提供管理平台的移动APP，支持双因子验证、自动登录和IP锁定功能。在移动管理控制台可进行系统监控和部分轻量操作。</w:t>
                  </w:r>
                </w:p>
                <w:p>
                  <w:pPr>
                    <w:pStyle w:val="null3"/>
                    <w:jc w:val="both"/>
                  </w:pPr>
                  <w:r>
                    <w:rPr>
                      <w:sz w:val="21"/>
                    </w:rPr>
                    <w:t>7.二维码激活：支持通过二维码下载客户端，通过扫描二维码激活设备，支持在用户列表预览/下载激活二维码，提高激活工作效率。</w:t>
                  </w:r>
                </w:p>
                <w:p>
                  <w:pPr>
                    <w:pStyle w:val="null3"/>
                    <w:jc w:val="both"/>
                  </w:pPr>
                  <w:r>
                    <w:rPr>
                      <w:sz w:val="21"/>
                    </w:rPr>
                    <w:t>8.用户扩展字段：管理员可以给用户添加扩展字段，用于保存用户的扩展信息如警号，最多五个字段。</w:t>
                  </w:r>
                </w:p>
                <w:p>
                  <w:pPr>
                    <w:pStyle w:val="null3"/>
                    <w:jc w:val="both"/>
                  </w:pPr>
                  <w:r>
                    <w:rPr>
                      <w:sz w:val="21"/>
                    </w:rPr>
                    <w:t>9.用户标签：支持静态标签和动态标签，可根据删选条件灵活设置标签。</w:t>
                  </w:r>
                </w:p>
                <w:p>
                  <w:pPr>
                    <w:pStyle w:val="null3"/>
                    <w:jc w:val="both"/>
                  </w:pPr>
                  <w:r>
                    <w:rPr>
                      <w:sz w:val="21"/>
                    </w:rPr>
                    <w:t>10.必装应用设置：下发或更新警务应用时，提供多种灵活设置，可以设置应用必装或按需安装，支持静默安装、按时安装。并可统计用户应用安装情况。</w:t>
                  </w:r>
                </w:p>
                <w:p>
                  <w:pPr>
                    <w:pStyle w:val="null3"/>
                    <w:jc w:val="both"/>
                  </w:pPr>
                  <w:r>
                    <w:rPr>
                      <w:sz w:val="21"/>
                    </w:rPr>
                    <w:t>11.安全容器：提供企业应用安全容器，支持将企业应用推送到安全容器，支持应用数据加解密功能，支持一键清除容器应用产生的数据，支持对容器应用的内部数据复制、剪切、粘贴功能控制，支持启动/禁用容器应用、支持是否允许使用相机、麦克风、地理位置、读取短信、联系人、通话记录、手机号码、发送短信、媒体库、蓝牙、拨打电话、数据共享和打印功能。</w:t>
                  </w:r>
                </w:p>
                <w:p>
                  <w:pPr>
                    <w:pStyle w:val="null3"/>
                    <w:jc w:val="both"/>
                  </w:pPr>
                  <w:r>
                    <w:rPr>
                      <w:sz w:val="21"/>
                    </w:rPr>
                    <w:t>12.移动杀毒：提供企业杀毒客户端，支持配置自动扫描和处理危险的应用程序，手动扫描、升级病毒库，支持记录设备的所有杀毒记录，包括扫描时间、扫描应用数量、危险应用数量。</w:t>
                  </w:r>
                </w:p>
                <w:p>
                  <w:pPr>
                    <w:pStyle w:val="null3"/>
                    <w:jc w:val="both"/>
                  </w:pPr>
                  <w:r>
                    <w:rPr>
                      <w:sz w:val="21"/>
                    </w:rPr>
                    <w:t>13.安全浏览器：提供安全浏览器功能，支持设置网址黑白名单，设置书签，上传网址访问记录功能。</w:t>
                  </w:r>
                </w:p>
                <w:p>
                  <w:pPr>
                    <w:pStyle w:val="null3"/>
                    <w:jc w:val="both"/>
                  </w:pPr>
                  <w:r>
                    <w:rPr>
                      <w:sz w:val="21"/>
                    </w:rPr>
                    <w:t>14.远程协助：支持远程协助功能，当警务终端用户出现问题时，可在管理后台远程协助显示终端界面，快速解决问题，提高工作效率。</w:t>
                  </w:r>
                </w:p>
                <w:p>
                  <w:pPr>
                    <w:pStyle w:val="null3"/>
                    <w:jc w:val="both"/>
                  </w:pPr>
                  <w:r>
                    <w:rPr>
                      <w:sz w:val="21"/>
                    </w:rPr>
                    <w:t>15.时间/地理WL：支持通过时间或地理纬度实现WL功能，支持在WL内连续锁屏、配置移动数据WF、禁用摄像头、禁用蓝牙、相机安全提示、安全提示、通话白名单。</w:t>
                  </w:r>
                </w:p>
                <w:p>
                  <w:pPr>
                    <w:pStyle w:val="null3"/>
                    <w:jc w:val="both"/>
                  </w:pPr>
                  <w:r>
                    <w:rPr>
                      <w:sz w:val="21"/>
                    </w:rPr>
                    <w:t>16.机卡绑定：可设置机卡绑定策略，防止用户私自更换SIM 卡。</w:t>
                  </w:r>
                </w:p>
                <w:p>
                  <w:pPr>
                    <w:pStyle w:val="null3"/>
                    <w:jc w:val="both"/>
                  </w:pPr>
                  <w:r>
                    <w:rPr>
                      <w:sz w:val="21"/>
                    </w:rPr>
                    <w:t>17.报表：强大的报表功能，支持提供设备激活记录、资产报表、设备已安装应用报表、设备淘汰报表、设备违规处理报表、设备杀毒报表、UEM 客户端统计报表、通话记录报表、短信记录报表、数据流量报表、用户详情报表、应用详情报表、应用安装统计报表、应用黑白名单报表、合规策略报表、内容报表。并支持导出为 excel 或 pdf 格式，支持报表订阅，租赁服务期内免费维保服务，满足公安部、广东省公安厅对终端管控要求。</w:t>
                  </w:r>
                </w:p>
                <w:p>
                  <w:pPr>
                    <w:pStyle w:val="null3"/>
                    <w:jc w:val="both"/>
                  </w:pPr>
                  <w:r>
                    <w:rPr>
                      <w:sz w:val="21"/>
                    </w:rPr>
                    <w:t>▲18.具备“一终端一台账”管理功能，对警务通终端的SN码、用户个人信息(姓名、警号、身份证号码、警务通号码、所属单位、职务职级)、安全智能加密卡介质编号、终端流转使用记录等进行管理，须具有excel批量导入导出功能。</w:t>
                  </w:r>
                </w:p>
                <w:p>
                  <w:pPr>
                    <w:pStyle w:val="null3"/>
                    <w:jc w:val="both"/>
                  </w:pPr>
                  <w:r>
                    <w:rPr>
                      <w:sz w:val="21"/>
                    </w:rPr>
                    <w:t>▲19.认证需求：</w:t>
                  </w:r>
                </w:p>
                <w:p>
                  <w:pPr>
                    <w:pStyle w:val="null3"/>
                    <w:jc w:val="both"/>
                  </w:pPr>
                  <w:r>
                    <w:rPr>
                      <w:sz w:val="21"/>
                    </w:rPr>
                    <w:t>（</w:t>
                  </w:r>
                  <w:r>
                    <w:rPr>
                      <w:sz w:val="21"/>
                    </w:rPr>
                    <w:t>1）具备等保三级备案证明</w:t>
                  </w:r>
                  <w:r>
                    <w:rPr>
                      <w:sz w:val="21"/>
                      <w:b/>
                    </w:rPr>
                    <w:t>（提供证书复印件（或扫描件）并加盖厂商公章）</w:t>
                  </w:r>
                  <w:r>
                    <w:rPr>
                      <w:sz w:val="21"/>
                    </w:rPr>
                    <w:t>；</w:t>
                  </w:r>
                </w:p>
                <w:p>
                  <w:pPr>
                    <w:pStyle w:val="null3"/>
                    <w:jc w:val="both"/>
                  </w:pPr>
                  <w:r>
                    <w:rPr>
                      <w:sz w:val="21"/>
                    </w:rPr>
                    <w:t>（</w:t>
                  </w:r>
                  <w:r>
                    <w:rPr>
                      <w:sz w:val="21"/>
                    </w:rPr>
                    <w:t>2）通过公安部GA/T 1466.2 标准检测报告；</w:t>
                  </w:r>
                </w:p>
                <w:p>
                  <w:pPr>
                    <w:pStyle w:val="null3"/>
                    <w:jc w:val="both"/>
                  </w:pPr>
                  <w:r>
                    <w:rPr>
                      <w:sz w:val="21"/>
                    </w:rPr>
                    <w:t>（</w:t>
                  </w:r>
                  <w:r>
                    <w:rPr>
                      <w:sz w:val="21"/>
                    </w:rPr>
                    <w:t>3）具备《IT 产品信息安全认证证书》。</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终端安装服务</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移动终端安装、调试（刷</w:t>
                  </w:r>
                  <w:r>
                    <w:rPr>
                      <w:sz w:val="21"/>
                    </w:rPr>
                    <w:t>Rom、制作加密卡、设置拨号帐号、APP程序等）。</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省市互联链路</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中标人所提供终端应满足以下链路要求：</w:t>
                  </w:r>
                </w:p>
                <w:p>
                  <w:pPr>
                    <w:pStyle w:val="null3"/>
                    <w:jc w:val="both"/>
                  </w:pPr>
                  <w:r>
                    <w:rPr>
                      <w:sz w:val="21"/>
                    </w:rPr>
                    <w:t>1.移动警务系统终端到中山市局移动警务系统（VPN无线连接）3Gb带宽链路。</w:t>
                  </w:r>
                </w:p>
                <w:p>
                  <w:pPr>
                    <w:pStyle w:val="null3"/>
                    <w:jc w:val="both"/>
                  </w:pPr>
                  <w:r>
                    <w:rPr>
                      <w:sz w:val="21"/>
                    </w:rPr>
                    <w:t>2.中山市局移动警务系统到广东省公安厅身份认证及安全接入3Gb带宽链路。</w:t>
                  </w:r>
                </w:p>
                <w:p>
                  <w:pPr>
                    <w:pStyle w:val="null3"/>
                    <w:jc w:val="both"/>
                  </w:pPr>
                  <w:r>
                    <w:rPr>
                      <w:sz w:val="21"/>
                    </w:rPr>
                    <w:t>3.中山市局移动警务系统到中山本地视频专网的3Gb带宽链路。</w:t>
                  </w:r>
                </w:p>
                <w:p>
                  <w:pPr>
                    <w:pStyle w:val="null3"/>
                    <w:jc w:val="both"/>
                  </w:pPr>
                  <w:r>
                    <w:rPr>
                      <w:sz w:val="21"/>
                    </w:rPr>
                    <w:t>▲4.实现上述链路的双备份；实现中山移动信息网与广东省厅移动信息网互联互通，按照省厅规则进行部署；中标人须无条件配合和协助采购人移动警务终端通过本项目链路接入移动警务系统。</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终端维护服务</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1.提供平台定期巡检、故障检查、故障诊断、数据整理、数据备份迁移、服务联调等工作；提供在线7*24小时在线支持服务。</w:t>
                  </w:r>
                </w:p>
                <w:p>
                  <w:pPr>
                    <w:pStyle w:val="null3"/>
                    <w:jc w:val="both"/>
                  </w:pPr>
                  <w:r>
                    <w:rPr>
                      <w:sz w:val="21"/>
                    </w:rPr>
                    <w:t>2.移动平台终端软件版本配合省厅平台定期升级服务，包括新终端适配、软件功能升级、应用测试和适配、平台功能迭代升级等服务。</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bl>
          <w:p/>
        </w:tc>
      </w:tr>
      <w:tr>
        <w:tc>
          <w:tcPr>
            <w:tcW w:type="dxa" w:w="2076"/>
          </w:tcPr>
          <w:p/>
        </w:tc>
        <w:tc>
          <w:tcPr>
            <w:tcW w:type="dxa" w:w="415"/>
          </w:tcPr>
          <w:p>
            <w:pPr>
              <w:pStyle w:val="null3"/>
            </w:pPr>
            <w:r>
              <w:rPr/>
              <w:t>39</w:t>
            </w:r>
          </w:p>
        </w:tc>
        <w:tc>
          <w:tcPr>
            <w:tcW w:type="dxa" w:w="5814"/>
          </w:tcPr>
          <w:p>
            <w:pPr>
              <w:pStyle w:val="null3"/>
              <w:jc w:val="both"/>
            </w:pPr>
            <w:r>
              <w:rPr>
                <w:sz w:val="21"/>
                <w:b/>
              </w:rPr>
              <w:t>五</w:t>
            </w:r>
            <w:r>
              <w:rPr>
                <w:sz w:val="21"/>
                <w:b/>
              </w:rPr>
              <w:t>、终端设备清单</w:t>
            </w:r>
          </w:p>
          <w:p>
            <w:pPr>
              <w:pStyle w:val="null3"/>
              <w:jc w:val="both"/>
            </w:pPr>
            <w:r>
              <w:rPr>
                <w:sz w:val="21"/>
                <w:b/>
              </w:rPr>
              <w:t>1.终端A参数</w:t>
            </w:r>
          </w:p>
          <w:tbl>
            <w:tblPr>
              <w:tblInd w:type="dxa" w:w="360"/>
              <w:tblBorders>
                <w:top w:val="none" w:color="000000" w:sz="4"/>
                <w:left w:val="none" w:color="000000" w:sz="4"/>
                <w:bottom w:val="none" w:color="000000" w:sz="4"/>
                <w:right w:val="none" w:color="000000" w:sz="4"/>
                <w:insideH w:val="none"/>
                <w:insideV w:val="none"/>
              </w:tblBorders>
            </w:tblPr>
            <w:tblGrid>
              <w:gridCol w:w="316"/>
              <w:gridCol w:w="813"/>
              <w:gridCol w:w="4469"/>
            </w:tblGrid>
            <w:tr>
              <w:tc>
                <w:tcPr>
                  <w:tcW w:type="dxa" w:w="3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b/>
                    </w:rPr>
                    <w:t>分类</w:t>
                  </w:r>
                </w:p>
              </w:tc>
              <w:tc>
                <w:tcPr>
                  <w:tcW w:type="dxa" w:w="8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b/>
                    </w:rPr>
                    <w:t>分项</w:t>
                  </w:r>
                </w:p>
              </w:tc>
              <w:tc>
                <w:tcPr>
                  <w:tcW w:type="dxa" w:w="446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b/>
                    </w:rPr>
                    <w:t>技术参数</w:t>
                  </w:r>
                </w:p>
              </w:tc>
            </w:tr>
            <w:tr>
              <w:tc>
                <w:tcPr>
                  <w:tcW w:type="dxa" w:w="3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通用</w:t>
                  </w:r>
                </w:p>
                <w:p>
                  <w:pPr>
                    <w:pStyle w:val="null3"/>
                    <w:jc w:val="both"/>
                  </w:pPr>
                  <w:r>
                    <w:rPr>
                      <w:sz w:val="21"/>
                    </w:rPr>
                    <w:t>配置</w:t>
                  </w:r>
                </w:p>
                <w:p>
                  <w:pPr>
                    <w:pStyle w:val="null3"/>
                    <w:jc w:val="both"/>
                  </w:pPr>
                  <w:r>
                    <w:rPr>
                      <w:sz w:val="21"/>
                    </w:rPr>
                    <w:t>要求</w:t>
                  </w: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基本需求</w:t>
                  </w:r>
                </w:p>
              </w:tc>
              <w:tc>
                <w:tcPr>
                  <w:tcW w:type="dxa" w:w="4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1.满足公安部《智能手机型移动警务终端第1部分:增强受控终端或多模式终端技术要求》（GA/T1466.1-2018）《智能手机型移动警务终端第2部分：安全监控组件技术规范》（GA/T1466.2-2018）要求和公安部对移动警务安全隐患整改要求。提供报告日期为2022年11月15日之后的公安部安全和警用电子产品质量检测中心检验报告复印件（或扫描件）；如提供2022年11月15日及之前的公安部安全和警用电子产品质量检测中心检验报告复印件（或扫描件），需有针对上述安全隐患整改的补充检测报告复印件（或扫描件）。</w:t>
                  </w:r>
                </w:p>
                <w:p>
                  <w:pPr>
                    <w:pStyle w:val="null3"/>
                    <w:jc w:val="both"/>
                  </w:pPr>
                  <w:r>
                    <w:rPr>
                      <w:sz w:val="21"/>
                    </w:rPr>
                    <w:t>▲2.产品应为国产成熟5G终端（或达到5G速率），且其安全相关核心部件(CPU)需国产化</w:t>
                  </w:r>
                  <w:r>
                    <w:rPr>
                      <w:sz w:val="21"/>
                      <w:b/>
                    </w:rPr>
                    <w:t>(提供证书复印件（或扫描件）或证明材料并加盖厂家公章）</w:t>
                  </w:r>
                  <w:r>
                    <w:rPr>
                      <w:sz w:val="21"/>
                    </w:rPr>
                    <w:t>；</w:t>
                  </w:r>
                </w:p>
                <w:p>
                  <w:pPr>
                    <w:pStyle w:val="null3"/>
                    <w:jc w:val="both"/>
                  </w:pPr>
                  <w:r>
                    <w:rPr>
                      <w:sz w:val="21"/>
                    </w:rPr>
                    <w:t>3.终端均需含原装充电器、充电线。</w:t>
                  </w:r>
                </w:p>
              </w:tc>
            </w:tr>
            <w:tr>
              <w:tc>
                <w:tcPr>
                  <w:tcW w:type="dxa" w:w="316"/>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操作系统</w:t>
                  </w:r>
                </w:p>
              </w:tc>
              <w:tc>
                <w:tcPr>
                  <w:tcW w:type="dxa" w:w="4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21"/>
                    </w:rPr>
                    <w:t>1.安卓Android10.0 及以上或国产操作系统；</w:t>
                  </w:r>
                </w:p>
                <w:p>
                  <w:pPr>
                    <w:pStyle w:val="null3"/>
                    <w:jc w:val="both"/>
                  </w:pPr>
                  <w:r>
                    <w:rPr>
                      <w:sz w:val="21"/>
                    </w:rPr>
                    <w:t>▲2.支持基于国产自主操作系统开发的安全双系统，可按需适配生态应用和系统版本定制，提供第三方权威检测机构的国产化测评证书。</w:t>
                  </w:r>
                </w:p>
              </w:tc>
            </w:tr>
            <w:tr>
              <w:tc>
                <w:tcPr>
                  <w:tcW w:type="dxa" w:w="316"/>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中央处理器</w:t>
                  </w:r>
                </w:p>
              </w:tc>
              <w:tc>
                <w:tcPr>
                  <w:tcW w:type="dxa" w:w="4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b/>
                    </w:rPr>
                    <w:t>≥8核，最高主频≥2.6GHz。</w:t>
                  </w:r>
                </w:p>
              </w:tc>
            </w:tr>
            <w:tr>
              <w:tc>
                <w:tcPr>
                  <w:tcW w:type="dxa" w:w="316"/>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网络支持</w:t>
                  </w:r>
                </w:p>
              </w:tc>
              <w:tc>
                <w:tcPr>
                  <w:tcW w:type="dxa" w:w="4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1.支持标准SIM 卡（15*25mm）、Micro SIM 卡（15*12mm）、Nano SIM（12.3*8.8mm）中的一种；</w:t>
                  </w:r>
                </w:p>
                <w:p>
                  <w:pPr>
                    <w:pStyle w:val="null3"/>
                    <w:jc w:val="both"/>
                  </w:pPr>
                  <w:r>
                    <w:rPr>
                      <w:sz w:val="21"/>
                    </w:rPr>
                    <w:t>▲2.网络制式应支持4G以上移动通信网络，全网通，双卡双待双通。</w:t>
                  </w:r>
                </w:p>
              </w:tc>
            </w:tr>
            <w:tr>
              <w:tc>
                <w:tcPr>
                  <w:tcW w:type="dxa" w:w="316"/>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传感器</w:t>
                  </w:r>
                </w:p>
              </w:tc>
              <w:tc>
                <w:tcPr>
                  <w:tcW w:type="dxa" w:w="4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1.支持RL识别；</w:t>
                  </w:r>
                </w:p>
                <w:p>
                  <w:pPr>
                    <w:pStyle w:val="null3"/>
                    <w:jc w:val="both"/>
                  </w:pPr>
                  <w:r>
                    <w:rPr>
                      <w:sz w:val="21"/>
                    </w:rPr>
                    <w:t>2.具备NFC 功能。</w:t>
                  </w:r>
                </w:p>
              </w:tc>
            </w:tr>
            <w:tr>
              <w:tc>
                <w:tcPr>
                  <w:tcW w:type="dxa" w:w="316"/>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存储</w:t>
                  </w:r>
                </w:p>
              </w:tc>
              <w:tc>
                <w:tcPr>
                  <w:tcW w:type="dxa" w:w="4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▲运行内存（RAM）≥12GB，机身内存（ROM）≥256GB。</w:t>
                  </w:r>
                </w:p>
              </w:tc>
            </w:tr>
            <w:tr>
              <w:tc>
                <w:tcPr>
                  <w:tcW w:type="dxa" w:w="316"/>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摄像头</w:t>
                  </w:r>
                </w:p>
              </w:tc>
              <w:tc>
                <w:tcPr>
                  <w:tcW w:type="dxa" w:w="4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1.后置摄像头：≥5000万像素超光变摄像头(OIS光学防抖)，≥1200万像素超广角摄像头，≥1200万像素长焦摄像头（OIS光学防抖），支持自动对焦；</w:t>
                  </w:r>
                </w:p>
                <w:p>
                  <w:pPr>
                    <w:pStyle w:val="null3"/>
                    <w:jc w:val="both"/>
                  </w:pPr>
                  <w:r>
                    <w:rPr>
                      <w:sz w:val="21"/>
                    </w:rPr>
                    <w:t>2.前置摄像头：≥1300万像素超广角摄像头；</w:t>
                  </w:r>
                </w:p>
                <w:p>
                  <w:pPr>
                    <w:pStyle w:val="null3"/>
                    <w:jc w:val="both"/>
                  </w:pPr>
                  <w:r>
                    <w:rPr>
                      <w:sz w:val="21"/>
                    </w:rPr>
                    <w:t>3.配置LED 闪光灯，支持手电筒模式。</w:t>
                  </w:r>
                </w:p>
              </w:tc>
            </w:tr>
            <w:tr>
              <w:tc>
                <w:tcPr>
                  <w:tcW w:type="dxa" w:w="316"/>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传输功能</w:t>
                  </w:r>
                </w:p>
              </w:tc>
              <w:tc>
                <w:tcPr>
                  <w:tcW w:type="dxa" w:w="4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1.WLAN 协议 802.11 a/b/g/n/ac/ax,2x2z；</w:t>
                  </w:r>
                </w:p>
                <w:p>
                  <w:pPr>
                    <w:pStyle w:val="null3"/>
                    <w:jc w:val="both"/>
                  </w:pPr>
                  <w:r>
                    <w:rPr>
                      <w:sz w:val="21"/>
                    </w:rPr>
                    <w:t>2.WLAN 频率 2.4GHz 和 5GHz；</w:t>
                  </w:r>
                </w:p>
                <w:p>
                  <w:pPr>
                    <w:pStyle w:val="null3"/>
                    <w:jc w:val="both"/>
                  </w:pPr>
                  <w:r>
                    <w:rPr>
                      <w:sz w:val="21"/>
                    </w:rPr>
                    <w:t>3.支持WLAN 直连；</w:t>
                  </w:r>
                </w:p>
                <w:p>
                  <w:pPr>
                    <w:pStyle w:val="null3"/>
                    <w:jc w:val="both"/>
                  </w:pPr>
                  <w:r>
                    <w:rPr>
                      <w:sz w:val="21"/>
                    </w:rPr>
                    <w:t>4.支持不低于Bluetooth5.2 协议；</w:t>
                  </w:r>
                </w:p>
                <w:p>
                  <w:pPr>
                    <w:pStyle w:val="null3"/>
                    <w:jc w:val="both"/>
                  </w:pPr>
                  <w:r>
                    <w:rPr>
                      <w:sz w:val="21"/>
                    </w:rPr>
                    <w:t>5.支持USB3.1 GEN1 及以上高速传输标准及充电功能和 OTG 功能。</w:t>
                  </w:r>
                </w:p>
              </w:tc>
            </w:tr>
            <w:tr>
              <w:tc>
                <w:tcPr>
                  <w:tcW w:type="dxa" w:w="316"/>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位置功能</w:t>
                  </w:r>
                </w:p>
              </w:tc>
              <w:tc>
                <w:tcPr>
                  <w:tcW w:type="dxa" w:w="4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b/>
                    </w:rPr>
                    <w:t>支持单</w:t>
                  </w:r>
                  <w:r>
                    <w:rPr>
                      <w:sz w:val="21"/>
                      <w:b/>
                    </w:rPr>
                    <w:t>-北-斗功能。（请在投标文件格式十“承诺函”提供承诺，并在条款前注明：</w:t>
                  </w:r>
                  <w:r>
                    <w:rPr>
                      <w:sz w:val="21"/>
                      <w:b/>
                    </w:rPr>
                    <w:t>“</w:t>
                  </w:r>
                  <w:r>
                    <w:rPr>
                      <w:sz w:val="21"/>
                      <w:b/>
                    </w:rPr>
                    <w:t>对</w:t>
                  </w:r>
                  <w:r>
                    <w:rPr>
                      <w:sz w:val="21"/>
                      <w:b/>
                    </w:rPr>
                    <w:t>古镇公安分局</w:t>
                  </w:r>
                  <w:r>
                    <w:rPr>
                      <w:sz w:val="21"/>
                      <w:b/>
                    </w:rPr>
                    <w:t>2024-2027年度政务信息化项目（警务通项目）</w:t>
                  </w:r>
                  <w:r>
                    <w:rPr>
                      <w:sz w:val="21"/>
                      <w:b/>
                    </w:rPr>
                    <w:t>承诺：</w:t>
                  </w:r>
                  <w:r>
                    <w:rPr>
                      <w:sz w:val="21"/>
                      <w:b/>
                    </w:rPr>
                    <w:t>”</w:t>
                  </w:r>
                  <w:r>
                    <w:rPr>
                      <w:sz w:val="21"/>
                      <w:b/>
                    </w:rPr>
                    <w:t>）</w:t>
                  </w:r>
                </w:p>
              </w:tc>
            </w:tr>
            <w:tr>
              <w:tc>
                <w:tcPr>
                  <w:tcW w:type="dxa" w:w="316"/>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防护能力</w:t>
                  </w:r>
                </w:p>
              </w:tc>
              <w:tc>
                <w:tcPr>
                  <w:tcW w:type="dxa" w:w="4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持在</w:t>
                  </w:r>
                  <w:r>
                    <w:rPr>
                      <w:sz w:val="21"/>
                    </w:rPr>
                    <w:t>GB/T 4208-2017（国内）标准下达到 IP68级防尘抗水能力。</w:t>
                  </w:r>
                </w:p>
              </w:tc>
            </w:tr>
            <w:tr>
              <w:tc>
                <w:tcPr>
                  <w:tcW w:type="dxa" w:w="316"/>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其它</w:t>
                  </w:r>
                </w:p>
              </w:tc>
              <w:tc>
                <w:tcPr>
                  <w:tcW w:type="dxa" w:w="4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1.工作系统和互联网系统能手动任意切换，支持指纹切换、快捷按钮切换；</w:t>
                  </w:r>
                </w:p>
                <w:p>
                  <w:pPr>
                    <w:pStyle w:val="null3"/>
                    <w:jc w:val="both"/>
                  </w:pPr>
                  <w:r>
                    <w:rPr>
                      <w:sz w:val="21"/>
                    </w:rPr>
                    <w:t>2.工作系统应具备语音电话白名单或者等同功能；</w:t>
                  </w:r>
                </w:p>
                <w:p>
                  <w:pPr>
                    <w:pStyle w:val="null3"/>
                    <w:jc w:val="both"/>
                  </w:pPr>
                  <w:r>
                    <w:rPr>
                      <w:sz w:val="21"/>
                    </w:rPr>
                    <w:t>▲3.工作系统可支持对接主流警务通应用软件，免费开放接口，并能提供相应的技术支撑；</w:t>
                  </w:r>
                </w:p>
                <w:p>
                  <w:pPr>
                    <w:pStyle w:val="null3"/>
                    <w:jc w:val="both"/>
                  </w:pPr>
                  <w:r>
                    <w:rPr>
                      <w:sz w:val="21"/>
                    </w:rPr>
                    <w:t>4.终端可按需求出厂预制主流警务软件及APN参数。</w:t>
                  </w:r>
                </w:p>
              </w:tc>
            </w:tr>
            <w:tr>
              <w:tc>
                <w:tcPr>
                  <w:tcW w:type="dxa" w:w="3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性能</w:t>
                  </w:r>
                </w:p>
                <w:p>
                  <w:pPr>
                    <w:pStyle w:val="null3"/>
                    <w:jc w:val="both"/>
                  </w:pPr>
                  <w:r>
                    <w:rPr>
                      <w:sz w:val="21"/>
                    </w:rPr>
                    <w:t>要求</w:t>
                  </w:r>
                </w:p>
              </w:tc>
              <w:tc>
                <w:tcPr>
                  <w:tcW w:type="dxa" w:w="8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屏幕性能</w:t>
                  </w:r>
                </w:p>
              </w:tc>
              <w:tc>
                <w:tcPr>
                  <w:tcW w:type="dxa" w:w="4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1.尺寸应为≥6.6英寸；</w:t>
                  </w:r>
                </w:p>
                <w:p>
                  <w:pPr>
                    <w:pStyle w:val="null3"/>
                    <w:jc w:val="both"/>
                  </w:pPr>
                  <w:r>
                    <w:rPr>
                      <w:sz w:val="21"/>
                    </w:rPr>
                    <w:t>2.色彩应为≥10.7亿色，P3广色域；</w:t>
                  </w:r>
                </w:p>
                <w:p>
                  <w:pPr>
                    <w:pStyle w:val="null3"/>
                    <w:jc w:val="both"/>
                  </w:pPr>
                  <w:r>
                    <w:rPr>
                      <w:sz w:val="21"/>
                    </w:rPr>
                    <w:t>3.屏幕类型：OLED 显示屏；</w:t>
                  </w:r>
                </w:p>
                <w:p>
                  <w:pPr>
                    <w:pStyle w:val="null3"/>
                    <w:jc w:val="both"/>
                  </w:pPr>
                  <w:r>
                    <w:rPr>
                      <w:sz w:val="21"/>
                    </w:rPr>
                    <w:t>▲4.分辨率≥FHD+ 2688×1216像素；</w:t>
                  </w:r>
                </w:p>
                <w:p>
                  <w:pPr>
                    <w:pStyle w:val="null3"/>
                    <w:jc w:val="both"/>
                  </w:pPr>
                  <w:r>
                    <w:rPr>
                      <w:sz w:val="21"/>
                    </w:rPr>
                    <w:t>5.多点触控触摸屏，最多支持10点触控。</w:t>
                  </w:r>
                </w:p>
              </w:tc>
            </w:tr>
            <w:tr>
              <w:tc>
                <w:tcPr>
                  <w:tcW w:type="dxa" w:w="316"/>
                  <w:vMerge/>
                  <w:tcBorders>
                    <w:top w:val="none" w:color="000000" w:sz="4"/>
                    <w:left w:val="single" w:color="000000" w:sz="4"/>
                    <w:bottom w:val="single" w:color="000000" w:sz="4"/>
                    <w:right w:val="single" w:color="000000" w:sz="4"/>
                  </w:tcBorders>
                </w:tcPr>
                <w:p/>
              </w:tc>
              <w:tc>
                <w:tcPr>
                  <w:tcW w:type="dxa" w:w="813"/>
                  <w:vMerge/>
                  <w:tcBorders>
                    <w:top w:val="none" w:color="000000" w:sz="4"/>
                    <w:left w:val="none" w:color="000000" w:sz="4"/>
                    <w:bottom w:val="single" w:color="000000" w:sz="4"/>
                    <w:right w:val="single" w:color="000000" w:sz="4"/>
                  </w:tcBorders>
                </w:tcPr>
                <w:p/>
              </w:tc>
              <w:tc>
                <w:tcPr>
                  <w:tcW w:type="dxa" w:w="4469"/>
                  <w:vMerge/>
                  <w:tcBorders>
                    <w:top w:val="none" w:color="000000" w:sz="4"/>
                    <w:left w:val="none" w:color="000000" w:sz="4"/>
                    <w:bottom w:val="single" w:color="000000" w:sz="4"/>
                    <w:right w:val="single" w:color="000000" w:sz="4"/>
                  </w:tcBorders>
                </w:tcPr>
                <w:p/>
              </w:tc>
            </w:tr>
            <w:tr>
              <w:tc>
                <w:tcPr>
                  <w:tcW w:type="dxa" w:w="316"/>
                  <w:vMerge/>
                  <w:tcBorders>
                    <w:top w:val="none" w:color="000000" w:sz="4"/>
                    <w:left w:val="single" w:color="000000" w:sz="4"/>
                    <w:bottom w:val="single" w:color="000000" w:sz="4"/>
                    <w:right w:val="single" w:color="000000" w:sz="4"/>
                  </w:tcBorders>
                </w:tcPr>
                <w:p/>
              </w:tc>
              <w:tc>
                <w:tcPr>
                  <w:tcW w:type="dxa" w:w="813"/>
                  <w:vMerge/>
                  <w:tcBorders>
                    <w:top w:val="none" w:color="000000" w:sz="4"/>
                    <w:left w:val="none" w:color="000000" w:sz="4"/>
                    <w:bottom w:val="single" w:color="000000" w:sz="4"/>
                    <w:right w:val="single" w:color="000000" w:sz="4"/>
                  </w:tcBorders>
                </w:tcPr>
                <w:p/>
              </w:tc>
              <w:tc>
                <w:tcPr>
                  <w:tcW w:type="dxa" w:w="4469"/>
                  <w:vMerge/>
                  <w:tcBorders>
                    <w:top w:val="none" w:color="000000" w:sz="4"/>
                    <w:left w:val="none" w:color="000000" w:sz="4"/>
                    <w:bottom w:val="single" w:color="000000" w:sz="4"/>
                    <w:right w:val="single" w:color="000000" w:sz="4"/>
                  </w:tcBorders>
                </w:tcPr>
                <w:p/>
              </w:tc>
            </w:tr>
            <w:tr>
              <w:tc>
                <w:tcPr>
                  <w:tcW w:type="dxa" w:w="316"/>
                  <w:vMerge/>
                  <w:tcBorders>
                    <w:top w:val="none" w:color="000000" w:sz="4"/>
                    <w:left w:val="single" w:color="000000" w:sz="4"/>
                    <w:bottom w:val="single" w:color="000000" w:sz="4"/>
                    <w:right w:val="single" w:color="000000" w:sz="4"/>
                  </w:tcBorders>
                </w:tcPr>
                <w:p/>
              </w:tc>
              <w:tc>
                <w:tcPr>
                  <w:tcW w:type="dxa" w:w="813"/>
                  <w:vMerge/>
                  <w:tcBorders>
                    <w:top w:val="none" w:color="000000" w:sz="4"/>
                    <w:left w:val="none" w:color="000000" w:sz="4"/>
                    <w:bottom w:val="single" w:color="000000" w:sz="4"/>
                    <w:right w:val="single" w:color="000000" w:sz="4"/>
                  </w:tcBorders>
                </w:tcPr>
                <w:p/>
              </w:tc>
              <w:tc>
                <w:tcPr>
                  <w:tcW w:type="dxa" w:w="4469"/>
                  <w:vMerge/>
                  <w:tcBorders>
                    <w:top w:val="none" w:color="000000" w:sz="4"/>
                    <w:left w:val="none" w:color="000000" w:sz="4"/>
                    <w:bottom w:val="single" w:color="000000" w:sz="4"/>
                    <w:right w:val="single" w:color="000000" w:sz="4"/>
                  </w:tcBorders>
                </w:tcPr>
                <w:p/>
              </w:tc>
            </w:tr>
            <w:tr>
              <w:tc>
                <w:tcPr>
                  <w:tcW w:type="dxa" w:w="316"/>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电池性能</w:t>
                  </w:r>
                </w:p>
              </w:tc>
              <w:tc>
                <w:tcPr>
                  <w:tcW w:type="dxa" w:w="4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1.使用锂聚合物电池；</w:t>
                  </w:r>
                </w:p>
                <w:p>
                  <w:pPr>
                    <w:pStyle w:val="null3"/>
                    <w:jc w:val="both"/>
                  </w:pPr>
                  <w:r>
                    <w:rPr>
                      <w:sz w:val="21"/>
                    </w:rPr>
                    <w:t>2.电池容量≥4650mA，支持不低于66W快充。</w:t>
                  </w:r>
                </w:p>
              </w:tc>
            </w:tr>
          </w:tbl>
          <w:p>
            <w:pPr>
              <w:pStyle w:val="null3"/>
              <w:jc w:val="both"/>
            </w:pPr>
            <w:r>
              <w:rPr/>
              <w:t xml:space="preserve"> </w:t>
            </w:r>
          </w:p>
          <w:p>
            <w:pPr>
              <w:pStyle w:val="null3"/>
              <w:jc w:val="both"/>
            </w:pPr>
            <w:r>
              <w:rPr/>
              <w:t xml:space="preserve"> </w:t>
            </w:r>
          </w:p>
          <w:p>
            <w:pPr>
              <w:pStyle w:val="null3"/>
              <w:jc w:val="both"/>
            </w:pPr>
            <w:r>
              <w:rPr>
                <w:sz w:val="21"/>
                <w:b/>
              </w:rPr>
              <w:t>2.终端B参数</w:t>
            </w:r>
          </w:p>
          <w:tbl>
            <w:tblPr>
              <w:tblInd w:type="dxa" w:w="240"/>
              <w:tblBorders>
                <w:top w:val="none" w:color="000000" w:sz="4"/>
                <w:left w:val="none" w:color="000000" w:sz="4"/>
                <w:bottom w:val="none" w:color="000000" w:sz="4"/>
                <w:right w:val="none" w:color="000000" w:sz="4"/>
                <w:insideH w:val="none"/>
                <w:insideV w:val="none"/>
              </w:tblBorders>
            </w:tblPr>
            <w:tblGrid>
              <w:gridCol w:w="482"/>
              <w:gridCol w:w="767"/>
              <w:gridCol w:w="4349"/>
            </w:tblGrid>
            <w:tr>
              <w:tc>
                <w:tcPr>
                  <w:tcW w:type="dxa" w:w="48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b/>
                    </w:rPr>
                    <w:t>分类</w:t>
                  </w:r>
                </w:p>
              </w:tc>
              <w:tc>
                <w:tcPr>
                  <w:tcW w:type="dxa" w:w="7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b/>
                    </w:rPr>
                    <w:t>分项</w:t>
                  </w:r>
                </w:p>
              </w:tc>
              <w:tc>
                <w:tcPr>
                  <w:tcW w:type="dxa" w:w="43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b/>
                    </w:rPr>
                    <w:t>技术参数</w:t>
                  </w:r>
                </w:p>
              </w:tc>
            </w:tr>
            <w:tr>
              <w:tc>
                <w:tcPr>
                  <w:tcW w:type="dxa" w:w="4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通用</w:t>
                  </w:r>
                </w:p>
                <w:p>
                  <w:pPr>
                    <w:pStyle w:val="null3"/>
                    <w:jc w:val="both"/>
                  </w:pPr>
                  <w:r>
                    <w:rPr>
                      <w:sz w:val="21"/>
                    </w:rPr>
                    <w:t>配置</w:t>
                  </w:r>
                </w:p>
                <w:p>
                  <w:pPr>
                    <w:pStyle w:val="null3"/>
                    <w:jc w:val="both"/>
                  </w:pPr>
                  <w:r>
                    <w:rPr>
                      <w:sz w:val="21"/>
                    </w:rPr>
                    <w:t>要求</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基本需求</w:t>
                  </w:r>
                </w:p>
              </w:tc>
              <w:tc>
                <w:tcPr>
                  <w:tcW w:type="dxa" w:w="4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1.满足公安部《智能手机型移动警务终端第1部分:增强受控终端或多模式终端技术要求》（GA/T1466.1-2018）《智能手机型移动警务终端第2部分：安全监控组件技术规范》（GA/T1466.2-2018）要求和公安部对移动警务安全隐患整改要求。提供报告日期为2022年11月15日之后的公安部安全和警用电子产品质量检测中心检验报告复印件（或扫描件）；如提供2022年11月15日及之前的公安部安全和警用电子产品质量检测中心检验报告复印件（或扫描件），需有针对上述安全隐患整改的补充检测报告复印件（或扫描件）；</w:t>
                  </w:r>
                </w:p>
                <w:p>
                  <w:pPr>
                    <w:pStyle w:val="null3"/>
                    <w:jc w:val="both"/>
                  </w:pPr>
                  <w:r>
                    <w:rPr>
                      <w:sz w:val="21"/>
                    </w:rPr>
                    <w:t>▲2.产品应为国产成熟5G终端（或达到5G速率），且其安全相关核心部件(CPU)需国产化</w:t>
                  </w:r>
                  <w:r>
                    <w:rPr>
                      <w:sz w:val="21"/>
                      <w:b/>
                    </w:rPr>
                    <w:t>(提供证书复印件（或扫描件）或证明材料并加盖厂家公章）</w:t>
                  </w:r>
                  <w:r>
                    <w:rPr>
                      <w:sz w:val="21"/>
                    </w:rPr>
                    <w:t>；</w:t>
                  </w:r>
                </w:p>
                <w:p>
                  <w:pPr>
                    <w:pStyle w:val="null3"/>
                    <w:jc w:val="both"/>
                  </w:pPr>
                  <w:r>
                    <w:rPr>
                      <w:sz w:val="21"/>
                    </w:rPr>
                    <w:t>3.终端均需含原装充电器、充电线。</w:t>
                  </w:r>
                </w:p>
              </w:tc>
            </w:tr>
            <w:tr>
              <w:tc>
                <w:tcPr>
                  <w:tcW w:type="dxa" w:w="482"/>
                  <w:vMerge/>
                  <w:tcBorders>
                    <w:top w:val="none" w:color="000000" w:sz="4"/>
                    <w:left w:val="single" w:color="000000" w:sz="4"/>
                    <w:bottom w:val="single" w:color="000000" w:sz="4"/>
                    <w:right w:val="single" w:color="000000" w:sz="4"/>
                  </w:tcBorders>
                </w:tcP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操作系统</w:t>
                  </w:r>
                </w:p>
              </w:tc>
              <w:tc>
                <w:tcPr>
                  <w:tcW w:type="dxa" w:w="4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1.安卓Android10.0 及以上或国产操作系统；</w:t>
                  </w:r>
                </w:p>
                <w:p>
                  <w:pPr>
                    <w:pStyle w:val="null3"/>
                    <w:jc w:val="both"/>
                  </w:pPr>
                  <w:r>
                    <w:rPr>
                      <w:sz w:val="21"/>
                    </w:rPr>
                    <w:t>▲</w:t>
                  </w:r>
                  <w:r>
                    <w:rPr>
                      <w:sz w:val="21"/>
                      <w:b/>
                    </w:rPr>
                    <w:t>2.支持基于国产自主操作系统开发的安全双系统，可按需适配生态应用和系统版本定制，提供第三方权威检测机构的国产化测评证书。</w:t>
                  </w:r>
                </w:p>
              </w:tc>
            </w:tr>
            <w:tr>
              <w:tc>
                <w:tcPr>
                  <w:tcW w:type="dxa" w:w="482"/>
                  <w:vMerge/>
                  <w:tcBorders>
                    <w:top w:val="none" w:color="000000" w:sz="4"/>
                    <w:left w:val="single" w:color="000000" w:sz="4"/>
                    <w:bottom w:val="single" w:color="000000" w:sz="4"/>
                    <w:right w:val="single" w:color="000000" w:sz="4"/>
                  </w:tcBorders>
                </w:tcP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中央处理器</w:t>
                  </w:r>
                </w:p>
              </w:tc>
              <w:tc>
                <w:tcPr>
                  <w:tcW w:type="dxa" w:w="4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▲≥8核，最高主频≥2.6GHz。</w:t>
                  </w:r>
                </w:p>
              </w:tc>
            </w:tr>
            <w:tr>
              <w:tc>
                <w:tcPr>
                  <w:tcW w:type="dxa" w:w="482"/>
                  <w:vMerge/>
                  <w:tcBorders>
                    <w:top w:val="none" w:color="000000" w:sz="4"/>
                    <w:left w:val="single" w:color="000000" w:sz="4"/>
                    <w:bottom w:val="single" w:color="000000" w:sz="4"/>
                    <w:right w:val="single" w:color="000000" w:sz="4"/>
                  </w:tcBorders>
                </w:tcP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网络支持</w:t>
                  </w:r>
                </w:p>
              </w:tc>
              <w:tc>
                <w:tcPr>
                  <w:tcW w:type="dxa" w:w="4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1.支持标准SIM 卡（15*25mm）、Micro SIM 卡（15*12mm）、Nano SIM（12.3*8.8mm）中的一种；</w:t>
                  </w:r>
                </w:p>
                <w:p>
                  <w:pPr>
                    <w:pStyle w:val="null3"/>
                    <w:jc w:val="both"/>
                  </w:pPr>
                  <w:r>
                    <w:rPr>
                      <w:sz w:val="21"/>
                    </w:rPr>
                    <w:t>▲2.网络制式应支持4G以上移动通信网络，全网通，双卡双待双通。</w:t>
                  </w:r>
                </w:p>
              </w:tc>
            </w:tr>
            <w:tr>
              <w:tc>
                <w:tcPr>
                  <w:tcW w:type="dxa" w:w="482"/>
                  <w:vMerge/>
                  <w:tcBorders>
                    <w:top w:val="none" w:color="000000" w:sz="4"/>
                    <w:left w:val="single" w:color="000000" w:sz="4"/>
                    <w:bottom w:val="single" w:color="000000" w:sz="4"/>
                    <w:right w:val="single" w:color="000000" w:sz="4"/>
                  </w:tcBorders>
                </w:tcP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传感器</w:t>
                  </w:r>
                </w:p>
              </w:tc>
              <w:tc>
                <w:tcPr>
                  <w:tcW w:type="dxa" w:w="4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1.支持RL识别；</w:t>
                  </w:r>
                </w:p>
                <w:p>
                  <w:pPr>
                    <w:pStyle w:val="null3"/>
                    <w:jc w:val="both"/>
                  </w:pPr>
                  <w:r>
                    <w:rPr>
                      <w:sz w:val="21"/>
                    </w:rPr>
                    <w:t>2.具备NFC 功能。</w:t>
                  </w:r>
                </w:p>
              </w:tc>
            </w:tr>
            <w:tr>
              <w:tc>
                <w:tcPr>
                  <w:tcW w:type="dxa" w:w="482"/>
                  <w:vMerge/>
                  <w:tcBorders>
                    <w:top w:val="none" w:color="000000" w:sz="4"/>
                    <w:left w:val="single" w:color="000000" w:sz="4"/>
                    <w:bottom w:val="single" w:color="000000" w:sz="4"/>
                    <w:right w:val="single" w:color="000000" w:sz="4"/>
                  </w:tcBorders>
                </w:tcP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存储</w:t>
                  </w:r>
                </w:p>
              </w:tc>
              <w:tc>
                <w:tcPr>
                  <w:tcW w:type="dxa" w:w="4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▲运行内存（RAM）≥12GB，机身内存（ROM）≥512GB。</w:t>
                  </w:r>
                </w:p>
              </w:tc>
            </w:tr>
            <w:tr>
              <w:tc>
                <w:tcPr>
                  <w:tcW w:type="dxa" w:w="482"/>
                  <w:vMerge/>
                  <w:tcBorders>
                    <w:top w:val="none" w:color="000000" w:sz="4"/>
                    <w:left w:val="single" w:color="000000" w:sz="4"/>
                    <w:bottom w:val="single" w:color="000000" w:sz="4"/>
                    <w:right w:val="single" w:color="000000" w:sz="4"/>
                  </w:tcBorders>
                </w:tcP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摄像头</w:t>
                  </w:r>
                </w:p>
              </w:tc>
              <w:tc>
                <w:tcPr>
                  <w:tcW w:type="dxa" w:w="4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1.后置摄像头：≥5000万像素超光变摄像头(OIS光学防抖)，≥1200万像素超广角摄像头，≥4800万像素长焦摄像头（OIS光学防抖），支持自动对焦；</w:t>
                  </w:r>
                </w:p>
                <w:p>
                  <w:pPr>
                    <w:pStyle w:val="null3"/>
                    <w:jc w:val="both"/>
                  </w:pPr>
                  <w:r>
                    <w:rPr>
                      <w:sz w:val="21"/>
                    </w:rPr>
                    <w:t>2.前置摄像头：≥1300万像素超广角摄像头；</w:t>
                  </w:r>
                </w:p>
                <w:p>
                  <w:pPr>
                    <w:pStyle w:val="null3"/>
                    <w:jc w:val="both"/>
                  </w:pPr>
                  <w:r>
                    <w:rPr>
                      <w:sz w:val="21"/>
                    </w:rPr>
                    <w:t>3.配置LED 闪光灯，支持手电筒模式。</w:t>
                  </w:r>
                </w:p>
              </w:tc>
            </w:tr>
            <w:tr>
              <w:tc>
                <w:tcPr>
                  <w:tcW w:type="dxa" w:w="482"/>
                  <w:vMerge/>
                  <w:tcBorders>
                    <w:top w:val="none" w:color="000000" w:sz="4"/>
                    <w:left w:val="single" w:color="000000" w:sz="4"/>
                    <w:bottom w:val="single" w:color="000000" w:sz="4"/>
                    <w:right w:val="single" w:color="000000" w:sz="4"/>
                  </w:tcBorders>
                </w:tcP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传输功能</w:t>
                  </w:r>
                </w:p>
              </w:tc>
              <w:tc>
                <w:tcPr>
                  <w:tcW w:type="dxa" w:w="4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1.WLAN 协议 802.11 a/b/g/n/ac/ax,2x2z；</w:t>
                  </w:r>
                </w:p>
                <w:p>
                  <w:pPr>
                    <w:pStyle w:val="null3"/>
                    <w:jc w:val="both"/>
                  </w:pPr>
                  <w:r>
                    <w:rPr>
                      <w:sz w:val="21"/>
                    </w:rPr>
                    <w:t>2.WLAN 频率 2.4GHz 和 5GHz；</w:t>
                  </w:r>
                </w:p>
                <w:p>
                  <w:pPr>
                    <w:pStyle w:val="null3"/>
                    <w:jc w:val="both"/>
                  </w:pPr>
                  <w:r>
                    <w:rPr>
                      <w:sz w:val="21"/>
                    </w:rPr>
                    <w:t>3.支持WLAN 直连；</w:t>
                  </w:r>
                </w:p>
                <w:p>
                  <w:pPr>
                    <w:pStyle w:val="null3"/>
                    <w:jc w:val="both"/>
                  </w:pPr>
                  <w:r>
                    <w:rPr>
                      <w:sz w:val="21"/>
                    </w:rPr>
                    <w:t>4.支持不低于Bluetooth5.2 协议；</w:t>
                  </w:r>
                </w:p>
                <w:p>
                  <w:pPr>
                    <w:pStyle w:val="null3"/>
                    <w:jc w:val="both"/>
                  </w:pPr>
                  <w:r>
                    <w:rPr>
                      <w:sz w:val="21"/>
                    </w:rPr>
                    <w:t>5.支持USB3.1 GEN1 及以上高速传输标准及充电功能和 OTG 功能。</w:t>
                  </w:r>
                </w:p>
              </w:tc>
            </w:tr>
            <w:tr>
              <w:tc>
                <w:tcPr>
                  <w:tcW w:type="dxa" w:w="482"/>
                  <w:vMerge/>
                  <w:tcBorders>
                    <w:top w:val="none" w:color="000000" w:sz="4"/>
                    <w:left w:val="single" w:color="000000" w:sz="4"/>
                    <w:bottom w:val="single" w:color="000000" w:sz="4"/>
                    <w:right w:val="single" w:color="000000" w:sz="4"/>
                  </w:tcBorders>
                </w:tcP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位置功能</w:t>
                  </w:r>
                </w:p>
              </w:tc>
              <w:tc>
                <w:tcPr>
                  <w:tcW w:type="dxa" w:w="4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★支持单-北-斗功能。（请在投标文件格式十“承诺函”提供承诺，并在条款前注明：对</w:t>
                  </w:r>
                  <w:r>
                    <w:rPr>
                      <w:sz w:val="21"/>
                      <w:b/>
                    </w:rPr>
                    <w:t>古镇公安分局</w:t>
                  </w:r>
                  <w:r>
                    <w:rPr>
                      <w:sz w:val="21"/>
                      <w:b/>
                    </w:rPr>
                    <w:t>2024-2027年度政务信息化项目（警务通项目）</w:t>
                  </w:r>
                  <w:r>
                    <w:rPr>
                      <w:sz w:val="21"/>
                      <w:b/>
                    </w:rPr>
                    <w:t>承诺：）</w:t>
                  </w:r>
                </w:p>
              </w:tc>
            </w:tr>
            <w:tr>
              <w:tc>
                <w:tcPr>
                  <w:tcW w:type="dxa" w:w="482"/>
                  <w:vMerge/>
                  <w:tcBorders>
                    <w:top w:val="none" w:color="000000" w:sz="4"/>
                    <w:left w:val="single" w:color="000000" w:sz="4"/>
                    <w:bottom w:val="single" w:color="000000" w:sz="4"/>
                    <w:right w:val="single" w:color="000000" w:sz="4"/>
                  </w:tcBorders>
                </w:tcP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防护能力</w:t>
                  </w:r>
                </w:p>
              </w:tc>
              <w:tc>
                <w:tcPr>
                  <w:tcW w:type="dxa" w:w="4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支持在</w:t>
                  </w:r>
                  <w:r>
                    <w:rPr>
                      <w:sz w:val="21"/>
                    </w:rPr>
                    <w:t>GB/T 4208-2017（国内）标准下达到 IP68 级防尘抗水能力。</w:t>
                  </w:r>
                </w:p>
              </w:tc>
            </w:tr>
            <w:tr>
              <w:tc>
                <w:tcPr>
                  <w:tcW w:type="dxa" w:w="482"/>
                  <w:vMerge/>
                  <w:tcBorders>
                    <w:top w:val="none" w:color="000000" w:sz="4"/>
                    <w:left w:val="single" w:color="000000" w:sz="4"/>
                    <w:bottom w:val="single" w:color="000000" w:sz="4"/>
                    <w:right w:val="single" w:color="000000" w:sz="4"/>
                  </w:tcBorders>
                </w:tcP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其它</w:t>
                  </w:r>
                </w:p>
              </w:tc>
              <w:tc>
                <w:tcPr>
                  <w:tcW w:type="dxa" w:w="4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1.工作系统和互联网系统能手动任意切换，支持指纹切换、快捷按钮切换；</w:t>
                  </w:r>
                </w:p>
                <w:p>
                  <w:pPr>
                    <w:pStyle w:val="null3"/>
                    <w:jc w:val="both"/>
                  </w:pPr>
                  <w:r>
                    <w:rPr>
                      <w:sz w:val="21"/>
                    </w:rPr>
                    <w:t>2.工作系统应具备语音电话白名单或者等同功能；</w:t>
                  </w:r>
                </w:p>
                <w:p>
                  <w:pPr>
                    <w:pStyle w:val="null3"/>
                    <w:jc w:val="both"/>
                  </w:pPr>
                  <w:r>
                    <w:rPr>
                      <w:sz w:val="21"/>
                    </w:rPr>
                    <w:t>3.工作系统可支持对接主流警务通应用软件，免费开放接口，并能提供相应的技术支撑；</w:t>
                  </w:r>
                </w:p>
                <w:p>
                  <w:pPr>
                    <w:pStyle w:val="null3"/>
                    <w:jc w:val="both"/>
                  </w:pPr>
                  <w:r>
                    <w:rPr>
                      <w:sz w:val="21"/>
                    </w:rPr>
                    <w:t>4.双系统终端可按照需求出厂预制主流警务软件及APN 参数。</w:t>
                  </w:r>
                </w:p>
              </w:tc>
            </w:tr>
            <w:tr>
              <w:tc>
                <w:tcPr>
                  <w:tcW w:type="dxa" w:w="4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性能</w:t>
                  </w:r>
                </w:p>
                <w:p>
                  <w:pPr>
                    <w:pStyle w:val="null3"/>
                    <w:jc w:val="both"/>
                  </w:pPr>
                  <w:r>
                    <w:rPr>
                      <w:sz w:val="21"/>
                    </w:rPr>
                    <w:t>要求</w:t>
                  </w:r>
                </w:p>
              </w:tc>
              <w:tc>
                <w:tcPr>
                  <w:tcW w:type="dxa" w:w="7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屏幕性能</w:t>
                  </w:r>
                </w:p>
              </w:tc>
              <w:tc>
                <w:tcPr>
                  <w:tcW w:type="dxa" w:w="43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1.尺寸应为≥6.8英寸；</w:t>
                  </w:r>
                </w:p>
                <w:p>
                  <w:pPr>
                    <w:pStyle w:val="null3"/>
                    <w:jc w:val="both"/>
                  </w:pPr>
                  <w:r>
                    <w:rPr>
                      <w:sz w:val="21"/>
                    </w:rPr>
                    <w:t>2.色彩应为≥10.7亿色， P3 广色域；</w:t>
                  </w:r>
                </w:p>
                <w:p>
                  <w:pPr>
                    <w:pStyle w:val="null3"/>
                    <w:jc w:val="both"/>
                  </w:pPr>
                  <w:r>
                    <w:rPr>
                      <w:sz w:val="21"/>
                    </w:rPr>
                    <w:t>3.屏幕类型：OLED 显示屏；</w:t>
                  </w:r>
                </w:p>
                <w:p>
                  <w:pPr>
                    <w:pStyle w:val="null3"/>
                    <w:jc w:val="both"/>
                  </w:pPr>
                  <w:r>
                    <w:rPr>
                      <w:sz w:val="21"/>
                    </w:rPr>
                    <w:t>▲4.分辨率≥FHD+  2720 × 1260像素；</w:t>
                  </w:r>
                </w:p>
                <w:p>
                  <w:pPr>
                    <w:pStyle w:val="null3"/>
                    <w:jc w:val="both"/>
                  </w:pPr>
                  <w:r>
                    <w:rPr>
                      <w:sz w:val="21"/>
                    </w:rPr>
                    <w:t>5.多点触控触摸屏，最多支持10 点触控。</w:t>
                  </w:r>
                </w:p>
              </w:tc>
            </w:tr>
            <w:tr>
              <w:tc>
                <w:tcPr>
                  <w:tcW w:type="dxa" w:w="482"/>
                  <w:vMerge/>
                  <w:tcBorders>
                    <w:top w:val="none" w:color="000000" w:sz="4"/>
                    <w:left w:val="single" w:color="000000" w:sz="4"/>
                    <w:bottom w:val="single" w:color="000000" w:sz="4"/>
                    <w:right w:val="single" w:color="000000" w:sz="4"/>
                  </w:tcBorders>
                </w:tcPr>
                <w:p/>
              </w:tc>
              <w:tc>
                <w:tcPr>
                  <w:tcW w:type="dxa" w:w="767"/>
                  <w:vMerge/>
                  <w:tcBorders>
                    <w:top w:val="none" w:color="000000" w:sz="4"/>
                    <w:left w:val="none" w:color="000000" w:sz="4"/>
                    <w:bottom w:val="single" w:color="000000" w:sz="4"/>
                    <w:right w:val="single" w:color="000000" w:sz="4"/>
                  </w:tcBorders>
                </w:tcPr>
                <w:p/>
              </w:tc>
              <w:tc>
                <w:tcPr>
                  <w:tcW w:type="dxa" w:w="4349"/>
                  <w:vMerge/>
                  <w:tcBorders>
                    <w:top w:val="none" w:color="000000" w:sz="4"/>
                    <w:left w:val="none" w:color="000000" w:sz="4"/>
                    <w:bottom w:val="single" w:color="000000" w:sz="4"/>
                    <w:right w:val="single" w:color="000000" w:sz="4"/>
                  </w:tcBorders>
                </w:tcPr>
                <w:p/>
              </w:tc>
            </w:tr>
            <w:tr>
              <w:tc>
                <w:tcPr>
                  <w:tcW w:type="dxa" w:w="482"/>
                  <w:vMerge/>
                  <w:tcBorders>
                    <w:top w:val="none" w:color="000000" w:sz="4"/>
                    <w:left w:val="single" w:color="000000" w:sz="4"/>
                    <w:bottom w:val="single" w:color="000000" w:sz="4"/>
                    <w:right w:val="single" w:color="000000" w:sz="4"/>
                  </w:tcBorders>
                </w:tcPr>
                <w:p/>
              </w:tc>
              <w:tc>
                <w:tcPr>
                  <w:tcW w:type="dxa" w:w="767"/>
                  <w:vMerge/>
                  <w:tcBorders>
                    <w:top w:val="none" w:color="000000" w:sz="4"/>
                    <w:left w:val="none" w:color="000000" w:sz="4"/>
                    <w:bottom w:val="single" w:color="000000" w:sz="4"/>
                    <w:right w:val="single" w:color="000000" w:sz="4"/>
                  </w:tcBorders>
                </w:tcPr>
                <w:p/>
              </w:tc>
              <w:tc>
                <w:tcPr>
                  <w:tcW w:type="dxa" w:w="4349"/>
                  <w:vMerge/>
                  <w:tcBorders>
                    <w:top w:val="none" w:color="000000" w:sz="4"/>
                    <w:left w:val="none" w:color="000000" w:sz="4"/>
                    <w:bottom w:val="single" w:color="000000" w:sz="4"/>
                    <w:right w:val="single" w:color="000000" w:sz="4"/>
                  </w:tcBorders>
                </w:tcPr>
                <w:p/>
              </w:tc>
            </w:tr>
            <w:tr>
              <w:tc>
                <w:tcPr>
                  <w:tcW w:type="dxa" w:w="482"/>
                  <w:vMerge/>
                  <w:tcBorders>
                    <w:top w:val="none" w:color="000000" w:sz="4"/>
                    <w:left w:val="single" w:color="000000" w:sz="4"/>
                    <w:bottom w:val="single" w:color="000000" w:sz="4"/>
                    <w:right w:val="single" w:color="000000" w:sz="4"/>
                  </w:tcBorders>
                </w:tcPr>
                <w:p/>
              </w:tc>
              <w:tc>
                <w:tcPr>
                  <w:tcW w:type="dxa" w:w="767"/>
                  <w:vMerge/>
                  <w:tcBorders>
                    <w:top w:val="none" w:color="000000" w:sz="4"/>
                    <w:left w:val="none" w:color="000000" w:sz="4"/>
                    <w:bottom w:val="single" w:color="000000" w:sz="4"/>
                    <w:right w:val="single" w:color="000000" w:sz="4"/>
                  </w:tcBorders>
                </w:tcPr>
                <w:p/>
              </w:tc>
              <w:tc>
                <w:tcPr>
                  <w:tcW w:type="dxa" w:w="4349"/>
                  <w:vMerge/>
                  <w:tcBorders>
                    <w:top w:val="none" w:color="000000" w:sz="4"/>
                    <w:left w:val="none" w:color="000000" w:sz="4"/>
                    <w:bottom w:val="single" w:color="000000" w:sz="4"/>
                    <w:right w:val="single" w:color="000000" w:sz="4"/>
                  </w:tcBorders>
                </w:tcPr>
                <w:p/>
              </w:tc>
            </w:tr>
            <w:tr>
              <w:tc>
                <w:tcPr>
                  <w:tcW w:type="dxa" w:w="482"/>
                  <w:vMerge/>
                  <w:tcBorders>
                    <w:top w:val="none" w:color="000000" w:sz="4"/>
                    <w:left w:val="single" w:color="000000" w:sz="4"/>
                    <w:bottom w:val="single" w:color="000000" w:sz="4"/>
                    <w:right w:val="single" w:color="000000" w:sz="4"/>
                  </w:tcBorders>
                </w:tcPr>
                <w:p/>
              </w:tc>
              <w:tc>
                <w:tcPr>
                  <w:tcW w:type="dxa" w:w="767"/>
                  <w:vMerge/>
                  <w:tcBorders>
                    <w:top w:val="none" w:color="000000" w:sz="4"/>
                    <w:left w:val="none" w:color="000000" w:sz="4"/>
                    <w:bottom w:val="single" w:color="000000" w:sz="4"/>
                    <w:right w:val="single" w:color="000000" w:sz="4"/>
                  </w:tcBorders>
                </w:tcPr>
                <w:p/>
              </w:tc>
              <w:tc>
                <w:tcPr>
                  <w:tcW w:type="dxa" w:w="4349"/>
                  <w:vMerge/>
                  <w:tcBorders>
                    <w:top w:val="none" w:color="000000" w:sz="4"/>
                    <w:left w:val="none" w:color="000000" w:sz="4"/>
                    <w:bottom w:val="single" w:color="000000" w:sz="4"/>
                    <w:right w:val="single" w:color="000000" w:sz="4"/>
                  </w:tcBorders>
                </w:tcPr>
                <w:p/>
              </w:tc>
            </w:tr>
            <w:tr>
              <w:tc>
                <w:tcPr>
                  <w:tcW w:type="dxa" w:w="482"/>
                  <w:vMerge/>
                  <w:tcBorders>
                    <w:top w:val="none" w:color="000000" w:sz="4"/>
                    <w:left w:val="single" w:color="000000" w:sz="4"/>
                    <w:bottom w:val="single" w:color="000000" w:sz="4"/>
                    <w:right w:val="single" w:color="000000" w:sz="4"/>
                  </w:tcBorders>
                </w:tcP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电池性能</w:t>
                  </w:r>
                </w:p>
              </w:tc>
              <w:tc>
                <w:tcPr>
                  <w:tcW w:type="dxa" w:w="4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1.使用锂聚合物电池；</w:t>
                  </w:r>
                </w:p>
                <w:p>
                  <w:pPr>
                    <w:pStyle w:val="null3"/>
                    <w:jc w:val="both"/>
                  </w:pPr>
                  <w:r>
                    <w:rPr>
                      <w:sz w:val="21"/>
                    </w:rPr>
                    <w:t>2.电池容量≥5000mA，支持不低于66W快充。</w:t>
                  </w:r>
                </w:p>
              </w:tc>
            </w:tr>
          </w:tbl>
          <w:p>
            <w:pPr>
              <w:pStyle w:val="null3"/>
              <w:jc w:val="both"/>
            </w:pPr>
            <w:r>
              <w:rPr>
                <w:sz w:val="21"/>
              </w:rPr>
              <w:t>▲3.移动警务通终端A、B需具备：电信设备进网许可证、无线电发射设备型号核准证、国家强制性产品认证证书（CCC 证书）。</w:t>
            </w:r>
          </w:p>
        </w:tc>
      </w:tr>
      <w:tr>
        <w:tc>
          <w:tcPr>
            <w:tcW w:type="dxa" w:w="2076"/>
          </w:tcPr>
          <w:p/>
        </w:tc>
        <w:tc>
          <w:tcPr>
            <w:tcW w:type="dxa" w:w="415"/>
          </w:tcPr>
          <w:p>
            <w:pPr>
              <w:pStyle w:val="null3"/>
            </w:pPr>
            <w:r>
              <w:rPr/>
              <w:t>40</w:t>
            </w:r>
          </w:p>
        </w:tc>
        <w:tc>
          <w:tcPr>
            <w:tcW w:type="dxa" w:w="5814"/>
          </w:tcPr>
          <w:p>
            <w:pPr>
              <w:pStyle w:val="null3"/>
              <w:jc w:val="left"/>
            </w:pPr>
            <w:r>
              <w:rPr>
                <w:sz w:val="21"/>
                <w:b/>
              </w:rPr>
              <w:t>六</w:t>
            </w:r>
            <w:r>
              <w:rPr>
                <w:sz w:val="21"/>
                <w:b/>
              </w:rPr>
              <w:t>、考核办法</w:t>
            </w:r>
            <w:r>
              <w:rPr/>
              <w:t xml:space="preserve"> </w:t>
            </w:r>
          </w:p>
          <w:p>
            <w:pPr>
              <w:pStyle w:val="null3"/>
              <w:jc w:val="left"/>
            </w:pPr>
            <w:r>
              <w:rPr>
                <w:sz w:val="21"/>
              </w:rPr>
              <w:t>（一）服务质量考核要求</w:t>
            </w:r>
          </w:p>
          <w:p>
            <w:pPr>
              <w:pStyle w:val="null3"/>
              <w:jc w:val="left"/>
            </w:pPr>
            <w:r>
              <w:rPr>
                <w:sz w:val="21"/>
              </w:rPr>
              <w:t>由采购人成立质量考核小组，负责对中标人服务质量进行考核评分。采购人根据《</w:t>
            </w:r>
            <w:r>
              <w:rPr>
                <w:sz w:val="21"/>
              </w:rPr>
              <w:t>中山市公安局古镇分局</w:t>
            </w:r>
            <w:r>
              <w:rPr>
                <w:sz w:val="21"/>
              </w:rPr>
              <w:t>运维服务工作服务考核表》每月对中标人服务质量进行评价，每月的运维考核结果累计至下一期支付金额中扣罚。</w:t>
            </w:r>
          </w:p>
          <w:p>
            <w:pPr>
              <w:pStyle w:val="null3"/>
              <w:jc w:val="left"/>
            </w:pPr>
            <w:r>
              <w:rPr>
                <w:sz w:val="21"/>
              </w:rPr>
              <w:t>（二）项目考核扣罚金计算方式</w:t>
            </w:r>
          </w:p>
          <w:p>
            <w:pPr>
              <w:pStyle w:val="null3"/>
              <w:jc w:val="left"/>
            </w:pPr>
            <w:r>
              <w:rPr>
                <w:sz w:val="21"/>
              </w:rPr>
              <w:t>考核得分与结算挂钩，中标人每月都须接受采购人的考核，采购人以书面的形式告知中标人考核结果，每月考核如有扣罚的则需扣除</w:t>
            </w:r>
            <w:r>
              <w:rPr>
                <w:sz w:val="21"/>
              </w:rPr>
              <w:t>当月服务费</w:t>
            </w:r>
            <w:r>
              <w:rPr>
                <w:sz w:val="21"/>
              </w:rPr>
              <w:t>（</w:t>
            </w:r>
            <w:r>
              <w:rPr>
                <w:sz w:val="21"/>
              </w:rPr>
              <w:t>中标</w:t>
            </w:r>
            <w:r>
              <w:rPr>
                <w:sz w:val="21"/>
              </w:rPr>
              <w:t>金额</w:t>
            </w:r>
            <w:r>
              <w:rPr>
                <w:sz w:val="21"/>
              </w:rPr>
              <w:t>/</w:t>
            </w:r>
            <w:r>
              <w:rPr>
                <w:sz w:val="21"/>
              </w:rPr>
              <w:t>36个月</w:t>
            </w:r>
            <w:r>
              <w:rPr>
                <w:sz w:val="21"/>
              </w:rPr>
              <w:t>）相应金额。按</w:t>
            </w:r>
            <w:r>
              <w:rPr>
                <w:sz w:val="21"/>
              </w:rPr>
              <w:t>4个档次设置扣罚款项，具体如下：</w:t>
            </w:r>
          </w:p>
          <w:p>
            <w:pPr>
              <w:pStyle w:val="null3"/>
              <w:jc w:val="left"/>
            </w:pPr>
            <w:r>
              <w:rPr>
                <w:sz w:val="21"/>
              </w:rPr>
              <w:t>（</w:t>
            </w:r>
            <w:r>
              <w:rPr>
                <w:sz w:val="21"/>
              </w:rPr>
              <w:t>1）得分≥90分，无需扣罚；</w:t>
            </w:r>
          </w:p>
          <w:p>
            <w:pPr>
              <w:pStyle w:val="null3"/>
              <w:jc w:val="left"/>
            </w:pPr>
            <w:r>
              <w:rPr>
                <w:sz w:val="21"/>
              </w:rPr>
              <w:t>（</w:t>
            </w:r>
            <w:r>
              <w:rPr>
                <w:sz w:val="21"/>
              </w:rPr>
              <w:t>2）90＞得分≥80，扣罚</w:t>
            </w:r>
            <w:r>
              <w:rPr>
                <w:sz w:val="21"/>
              </w:rPr>
              <w:t>当月服务费</w:t>
            </w:r>
            <w:r>
              <w:rPr>
                <w:sz w:val="21"/>
              </w:rPr>
              <w:t>的</w:t>
            </w:r>
            <w:r>
              <w:rPr>
                <w:sz w:val="21"/>
              </w:rPr>
              <w:t>10%；</w:t>
            </w:r>
          </w:p>
          <w:p>
            <w:pPr>
              <w:pStyle w:val="null3"/>
              <w:jc w:val="left"/>
            </w:pPr>
            <w:r>
              <w:rPr>
                <w:sz w:val="21"/>
              </w:rPr>
              <w:t>（</w:t>
            </w:r>
            <w:r>
              <w:rPr>
                <w:sz w:val="21"/>
              </w:rPr>
              <w:t>3）80＞得分≥70，扣罚</w:t>
            </w:r>
            <w:r>
              <w:rPr>
                <w:sz w:val="21"/>
              </w:rPr>
              <w:t>当月服务费</w:t>
            </w:r>
            <w:r>
              <w:rPr>
                <w:sz w:val="21"/>
              </w:rPr>
              <w:t>的</w:t>
            </w:r>
            <w:r>
              <w:rPr>
                <w:sz w:val="21"/>
              </w:rPr>
              <w:t>20%；</w:t>
            </w:r>
          </w:p>
          <w:p>
            <w:pPr>
              <w:pStyle w:val="null3"/>
              <w:jc w:val="left"/>
            </w:pPr>
            <w:r>
              <w:rPr>
                <w:sz w:val="21"/>
              </w:rPr>
              <w:t>（</w:t>
            </w:r>
            <w:r>
              <w:rPr>
                <w:sz w:val="21"/>
              </w:rPr>
              <w:t>4）70＞得分，扣罚</w:t>
            </w:r>
            <w:r>
              <w:rPr>
                <w:sz w:val="21"/>
              </w:rPr>
              <w:t>当月服务费</w:t>
            </w:r>
            <w:r>
              <w:rPr>
                <w:sz w:val="21"/>
              </w:rPr>
              <w:t>的</w:t>
            </w:r>
            <w:r>
              <w:rPr>
                <w:sz w:val="21"/>
              </w:rPr>
              <w:t>40%。</w:t>
            </w:r>
          </w:p>
          <w:p>
            <w:pPr>
              <w:pStyle w:val="null3"/>
              <w:jc w:val="left"/>
            </w:pPr>
            <w:r>
              <w:rPr>
                <w:sz w:val="21"/>
              </w:rPr>
              <w:t>（三）违规违规红线考核要求</w:t>
            </w:r>
          </w:p>
          <w:p>
            <w:pPr>
              <w:pStyle w:val="null3"/>
              <w:jc w:val="left"/>
            </w:pPr>
            <w:r>
              <w:rPr>
                <w:sz w:val="21"/>
              </w:rPr>
              <w:t>运维服务过程中，发生下列表格所述安全事件，造成重大后果的，采购人有权单方面解除合同，中标人应赔偿由此给采购人带来的损失。</w:t>
            </w:r>
          </w:p>
          <w:tbl>
            <w:tblPr>
              <w:tblInd w:type="dxa" w:w="120"/>
              <w:tblBorders>
                <w:top w:val="none" w:color="000000" w:sz="4"/>
                <w:left w:val="none" w:color="000000" w:sz="4"/>
                <w:bottom w:val="none" w:color="000000" w:sz="4"/>
                <w:right w:val="none" w:color="000000" w:sz="4"/>
                <w:insideH w:val="none"/>
                <w:insideV w:val="none"/>
              </w:tblBorders>
            </w:tblPr>
            <w:tblGrid>
              <w:gridCol w:w="1304"/>
              <w:gridCol w:w="4294"/>
            </w:tblGrid>
            <w:tr>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考核类型</w:t>
                  </w:r>
                </w:p>
              </w:tc>
              <w:tc>
                <w:tcPr>
                  <w:tcW w:type="dxa" w:w="4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考核说明</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信息安全</w:t>
                  </w:r>
                </w:p>
              </w:tc>
              <w:tc>
                <w:tcPr>
                  <w:tcW w:type="dxa" w:w="4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由于运维服务团队人员失误造成业务系统出现数据丢失、篡改等情况。</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网络安全</w:t>
                  </w:r>
                </w:p>
              </w:tc>
              <w:tc>
                <w:tcPr>
                  <w:tcW w:type="dxa" w:w="4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因运维团队自身失误导致发生重大网络事件，不可抗力因素除外。</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信息泄露</w:t>
                  </w:r>
                </w:p>
              </w:tc>
              <w:tc>
                <w:tcPr>
                  <w:tcW w:type="dxa" w:w="4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运维服务团队私自将公共数据、个人数据、政务数据等泄露或进行市场销售。</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群众信访</w:t>
                  </w:r>
                </w:p>
              </w:tc>
              <w:tc>
                <w:tcPr>
                  <w:tcW w:type="dxa" w:w="4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由于运维服务不到位，导致出现群众信访事件或聚众扰乱社会事件的。</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安全生产</w:t>
                  </w:r>
                </w:p>
              </w:tc>
              <w:tc>
                <w:tcPr>
                  <w:tcW w:type="dxa" w:w="4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特种工作人员未持有电工证、高空作安全员证书等专业资质，进行相关作业，造成安全生产事件的。</w:t>
                  </w:r>
                </w:p>
              </w:tc>
            </w:tr>
          </w:tbl>
          <w:p>
            <w:pPr>
              <w:pStyle w:val="null3"/>
            </w:pPr>
            <w:r>
              <w:rPr/>
              <w:t xml:space="preserve"> </w:t>
            </w:r>
          </w:p>
          <w:p>
            <w:pPr>
              <w:pStyle w:val="null3"/>
              <w:jc w:val="left"/>
            </w:pPr>
            <w:r>
              <w:rPr>
                <w:sz w:val="21"/>
                <w:b/>
              </w:rPr>
              <w:t>（四）</w:t>
            </w:r>
            <w:r>
              <w:rPr>
                <w:sz w:val="21"/>
                <w:b/>
              </w:rPr>
              <w:t>中山市公安局古镇分局</w:t>
            </w:r>
            <w:r>
              <w:rPr>
                <w:sz w:val="21"/>
                <w:b/>
              </w:rPr>
              <w:t>运维服务工作服务考核表</w:t>
            </w:r>
          </w:p>
          <w:p>
            <w:pPr>
              <w:pStyle w:val="null3"/>
              <w:jc w:val="left"/>
            </w:pPr>
            <w:r>
              <w:rPr>
                <w:sz w:val="21"/>
              </w:rPr>
              <w:t>此表仅供参考，采购人在项目实施过程中可结合实际业务情况进行动态调整。可根据该表增加个性化考核指标，最终解释由采购人所有。</w:t>
            </w:r>
          </w:p>
          <w:tbl>
            <w:tblPr>
              <w:tblInd w:type="dxa" w:w="135"/>
              <w:tblBorders>
                <w:top w:val="none" w:color="000000" w:sz="4"/>
                <w:left w:val="none" w:color="000000" w:sz="4"/>
                <w:bottom w:val="none" w:color="000000" w:sz="4"/>
                <w:right w:val="none" w:color="000000" w:sz="4"/>
                <w:insideH w:val="none"/>
                <w:insideV w:val="none"/>
              </w:tblBorders>
            </w:tblPr>
            <w:tblGrid>
              <w:gridCol w:w="385"/>
              <w:gridCol w:w="557"/>
              <w:gridCol w:w="1154"/>
              <w:gridCol w:w="2613"/>
              <w:gridCol w:w="889"/>
            </w:tblGrid>
            <w:tr>
              <w:tc>
                <w:tcPr>
                  <w:tcW w:type="dxa" w:w="385"/>
                  <w:tcBorders>
                    <w:top w:val="double" w:color="000000" w:sz="4"/>
                    <w:left w:val="double" w:color="000000" w:sz="4"/>
                    <w:bottom w:val="single" w:color="000000" w:sz="4"/>
                    <w:right w:val="single" w:color="000000" w:sz="4"/>
                  </w:tcBorders>
                  <w:shd w:fill="FFFFFF"/>
                  <w:tcMar>
                    <w:top w:type="dxa" w:w="60"/>
                    <w:left w:type="dxa" w:w="90"/>
                    <w:bottom w:type="dxa" w:w="60"/>
                    <w:right w:type="dxa" w:w="90"/>
                  </w:tcMar>
                  <w:vAlign w:val="top"/>
                </w:tcPr>
                <w:p>
                  <w:pPr>
                    <w:pStyle w:val="null3"/>
                    <w:jc w:val="left"/>
                  </w:pPr>
                  <w:r>
                    <w:rPr>
                      <w:sz w:val="21"/>
                      <w:b/>
                    </w:rPr>
                    <w:t>序号</w:t>
                  </w:r>
                </w:p>
              </w:tc>
              <w:tc>
                <w:tcPr>
                  <w:tcW w:type="dxa" w:w="557"/>
                  <w:tcBorders>
                    <w:top w:val="doubl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left"/>
                  </w:pPr>
                  <w:r>
                    <w:rPr>
                      <w:sz w:val="21"/>
                      <w:b/>
                    </w:rPr>
                    <w:t>考核</w:t>
                  </w:r>
                </w:p>
                <w:p>
                  <w:pPr>
                    <w:pStyle w:val="null3"/>
                    <w:jc w:val="left"/>
                  </w:pPr>
                  <w:r>
                    <w:rPr>
                      <w:sz w:val="21"/>
                      <w:b/>
                    </w:rPr>
                    <w:t>类别</w:t>
                  </w:r>
                </w:p>
              </w:tc>
              <w:tc>
                <w:tcPr>
                  <w:tcW w:type="dxa" w:w="1154"/>
                  <w:tcBorders>
                    <w:top w:val="doubl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left"/>
                  </w:pPr>
                  <w:r>
                    <w:rPr>
                      <w:sz w:val="21"/>
                      <w:b/>
                    </w:rPr>
                    <w:t>考核项目</w:t>
                  </w:r>
                </w:p>
              </w:tc>
              <w:tc>
                <w:tcPr>
                  <w:tcW w:type="dxa" w:w="2613"/>
                  <w:tcBorders>
                    <w:top w:val="doubl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left"/>
                  </w:pPr>
                  <w:r>
                    <w:rPr>
                      <w:sz w:val="21"/>
                      <w:b/>
                    </w:rPr>
                    <w:t>考核内容</w:t>
                  </w:r>
                </w:p>
              </w:tc>
              <w:tc>
                <w:tcPr>
                  <w:tcW w:type="dxa" w:w="889"/>
                  <w:tcBorders>
                    <w:top w:val="double" w:color="000000" w:sz="4"/>
                    <w:left w:val="none" w:color="000000" w:sz="4"/>
                    <w:bottom w:val="single" w:color="000000" w:sz="4"/>
                    <w:right w:val="double" w:color="000000" w:sz="4"/>
                  </w:tcBorders>
                  <w:shd w:fill="FFFFFF"/>
                  <w:tcMar>
                    <w:top w:type="dxa" w:w="60"/>
                    <w:left w:type="dxa" w:w="90"/>
                    <w:bottom w:type="dxa" w:w="60"/>
                    <w:right w:type="dxa" w:w="90"/>
                  </w:tcMar>
                  <w:vAlign w:val="top"/>
                </w:tcPr>
                <w:p>
                  <w:pPr>
                    <w:pStyle w:val="null3"/>
                    <w:jc w:val="left"/>
                  </w:pPr>
                  <w:r>
                    <w:rPr>
                      <w:sz w:val="21"/>
                      <w:b/>
                    </w:rPr>
                    <w:t>扣分</w:t>
                  </w: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1</w:t>
                  </w:r>
                </w:p>
              </w:tc>
              <w:tc>
                <w:tcPr>
                  <w:tcW w:type="dxa" w:w="557"/>
                  <w:vMerge w:val="restart"/>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服务人员考核</w:t>
                  </w:r>
                </w:p>
              </w:tc>
              <w:tc>
                <w:tcPr>
                  <w:tcW w:type="dxa" w:w="11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人员岗位设置</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符合要求实际驻场人数</w:t>
                  </w:r>
                  <w:r>
                    <w:rPr>
                      <w:sz w:val="21"/>
                    </w:rPr>
                    <w:t>/合同要求人数，不满足要求人数，每发现一人次扣4分；</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2</w:t>
                  </w:r>
                </w:p>
              </w:tc>
              <w:tc>
                <w:tcPr>
                  <w:tcW w:type="dxa" w:w="557"/>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人员稳定性</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服务人员在服务期间未经采购人许可出现更换，每发现一人次扣</w:t>
                  </w:r>
                  <w:r>
                    <w:rPr>
                      <w:sz w:val="21"/>
                    </w:rPr>
                    <w:t>4分；</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3</w:t>
                  </w:r>
                </w:p>
              </w:tc>
              <w:tc>
                <w:tcPr>
                  <w:tcW w:type="dxa" w:w="557"/>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人员工作满意度</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客户投诉每次扣</w:t>
                  </w:r>
                  <w:r>
                    <w:rPr>
                      <w:sz w:val="21"/>
                    </w:rPr>
                    <w:t>4分，书面警告每次扣6分；</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4</w:t>
                  </w:r>
                </w:p>
              </w:tc>
              <w:tc>
                <w:tcPr>
                  <w:tcW w:type="dxa" w:w="557"/>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人员业务水平</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考核工程师对业务的熟悉程度、相关知识掌握程度、运维项目保密工作等的考核。出现误操作事件每人次扣</w:t>
                  </w:r>
                  <w:r>
                    <w:rPr>
                      <w:sz w:val="21"/>
                    </w:rPr>
                    <w:t>4分；</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5</w:t>
                  </w:r>
                </w:p>
              </w:tc>
              <w:tc>
                <w:tcPr>
                  <w:tcW w:type="dxa" w:w="557"/>
                  <w:vMerge w:val="restart"/>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服务提供</w:t>
                  </w:r>
                </w:p>
              </w:tc>
              <w:tc>
                <w:tcPr>
                  <w:tcW w:type="dxa" w:w="11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网络接入</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按合同要求，按时完成网络接入</w:t>
                  </w:r>
                  <w:r>
                    <w:rPr>
                      <w:sz w:val="21"/>
                    </w:rPr>
                    <w:t>.每逾期一天，扣1分；</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6</w:t>
                  </w:r>
                </w:p>
              </w:tc>
              <w:tc>
                <w:tcPr>
                  <w:tcW w:type="dxa" w:w="557"/>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终端及配套</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按合同要求提供终端、安全卡、终端管控服务，每少一项，每台每天扣</w:t>
                  </w:r>
                  <w:r>
                    <w:rPr>
                      <w:sz w:val="21"/>
                    </w:rPr>
                    <w:t>0.3分；</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7</w:t>
                  </w:r>
                </w:p>
              </w:tc>
              <w:tc>
                <w:tcPr>
                  <w:tcW w:type="dxa" w:w="55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违规业务</w:t>
                  </w:r>
                </w:p>
              </w:tc>
              <w:tc>
                <w:tcPr>
                  <w:tcW w:type="dxa" w:w="11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违规业务</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对警务通用户推销办理宽带、有线电视等私人服务的，每发现一次扣</w:t>
                  </w:r>
                  <w:r>
                    <w:rPr>
                      <w:sz w:val="21"/>
                    </w:rPr>
                    <w:t>1分；未及时解除个人宽带、有线电视绑定的，每逾期一天扣0.5分；</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8</w:t>
                  </w:r>
                </w:p>
              </w:tc>
              <w:tc>
                <w:tcPr>
                  <w:tcW w:type="dxa" w:w="557"/>
                  <w:vMerge w:val="restart"/>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日常维护</w:t>
                  </w:r>
                </w:p>
              </w:tc>
              <w:tc>
                <w:tcPr>
                  <w:tcW w:type="dxa" w:w="11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巡检和应急支持</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按要求完成日常运维任务，未按时进行巡检的，扣</w:t>
                  </w:r>
                  <w:r>
                    <w:rPr>
                      <w:sz w:val="21"/>
                    </w:rPr>
                    <w:t>0.5分/次；未按要求响应支持应急和处理事件的，扣1分/次；</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9</w:t>
                  </w:r>
                </w:p>
              </w:tc>
              <w:tc>
                <w:tcPr>
                  <w:tcW w:type="dxa" w:w="557"/>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报告提交情况</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按要求准时提交相关日报、月报、周报、季度报告、重大故障报告等相关报告，未按要求准时提交一次扣</w:t>
                  </w:r>
                  <w:r>
                    <w:rPr>
                      <w:sz w:val="21"/>
                    </w:rPr>
                    <w:t>1分；</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10</w:t>
                  </w:r>
                </w:p>
              </w:tc>
              <w:tc>
                <w:tcPr>
                  <w:tcW w:type="dxa" w:w="557"/>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软硬件升级</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软硬件升级前没有事先向采购人申请或沟通而造成不良影响的，扣</w:t>
                  </w:r>
                  <w:r>
                    <w:rPr>
                      <w:sz w:val="21"/>
                    </w:rPr>
                    <w:t>1分/次；未按照采购人要求进行升级的，扣2分/次，造成不良影响的，扣3分/次。</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11</w:t>
                  </w:r>
                </w:p>
              </w:tc>
              <w:tc>
                <w:tcPr>
                  <w:tcW w:type="dxa" w:w="557"/>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故障处理</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出现故障后没按故障正确的处理流程操作导致重大损失和造成恶劣影响的，扣</w:t>
                  </w:r>
                  <w:r>
                    <w:rPr>
                      <w:sz w:val="21"/>
                    </w:rPr>
                    <w:t>15分/次；</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12</w:t>
                  </w:r>
                </w:p>
              </w:tc>
              <w:tc>
                <w:tcPr>
                  <w:tcW w:type="dxa" w:w="557"/>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功能变更管理</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未经管理方私自进行功能变更的，扣</w:t>
                  </w:r>
                  <w:r>
                    <w:rPr>
                      <w:sz w:val="21"/>
                    </w:rPr>
                    <w:t>2分/次，未按时按质完成功能变更的，扣2分/次；</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13</w:t>
                  </w:r>
                </w:p>
              </w:tc>
              <w:tc>
                <w:tcPr>
                  <w:tcW w:type="dxa" w:w="557"/>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安全管理</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违反安全管理制度，人为造成严重、重大故障的，扣</w:t>
                  </w:r>
                  <w:r>
                    <w:rPr>
                      <w:sz w:val="21"/>
                    </w:rPr>
                    <w:t>15分/次；</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14</w:t>
                  </w:r>
                </w:p>
              </w:tc>
              <w:tc>
                <w:tcPr>
                  <w:tcW w:type="dxa" w:w="557"/>
                  <w:vMerge w:val="restart"/>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响应型服务质量</w:t>
                  </w:r>
                </w:p>
              </w:tc>
              <w:tc>
                <w:tcPr>
                  <w:tcW w:type="dxa" w:w="11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事件响应时间达标率</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达标率低于</w:t>
                  </w:r>
                  <w:r>
                    <w:rPr>
                      <w:sz w:val="21"/>
                    </w:rPr>
                    <w:t>70%（扣6分）；低于80%（扣4分）；低于90%（扣2分）；低于100%（扣1分）；</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15</w:t>
                  </w:r>
                </w:p>
              </w:tc>
              <w:tc>
                <w:tcPr>
                  <w:tcW w:type="dxa" w:w="557"/>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事件处理时间达标率</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达标率低于</w:t>
                  </w:r>
                  <w:r>
                    <w:rPr>
                      <w:sz w:val="21"/>
                    </w:rPr>
                    <w:t>70%（扣6分）；低于80%（扣4分）；低于90%（扣2分）；低于100%（扣1分）；</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16</w:t>
                  </w:r>
                </w:p>
              </w:tc>
              <w:tc>
                <w:tcPr>
                  <w:tcW w:type="dxa" w:w="557"/>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事件完成率（已经完成的事件数</w:t>
                  </w:r>
                  <w:r>
                    <w:rPr>
                      <w:sz w:val="21"/>
                    </w:rPr>
                    <w:t>/事件总数）</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达标率低于</w:t>
                  </w:r>
                  <w:r>
                    <w:rPr>
                      <w:sz w:val="21"/>
                    </w:rPr>
                    <w:t>70%（扣6分）；低于80%（扣4分）；低于90%（扣2分）；低于100%（扣1分）；</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17</w:t>
                  </w:r>
                </w:p>
              </w:tc>
              <w:tc>
                <w:tcPr>
                  <w:tcW w:type="dxa" w:w="557"/>
                  <w:vMerge w:val="restart"/>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备件服务</w:t>
                  </w:r>
                </w:p>
              </w:tc>
              <w:tc>
                <w:tcPr>
                  <w:tcW w:type="dxa" w:w="1154"/>
                  <w:vMerge w:val="restart"/>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备件服务</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在接到采购人需求无法在短时间内对设备完成修复的，应马上提供备件更换，超出采购人规定时间到达现场更换备件的扣</w:t>
                  </w:r>
                  <w:r>
                    <w:rPr>
                      <w:sz w:val="21"/>
                    </w:rPr>
                    <w:t>1分/次；</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18</w:t>
                  </w:r>
                </w:p>
              </w:tc>
              <w:tc>
                <w:tcPr>
                  <w:tcW w:type="dxa" w:w="557"/>
                  <w:vMerge/>
                  <w:tcBorders>
                    <w:top w:val="none" w:color="000000" w:sz="4"/>
                    <w:left w:val="none" w:color="000000" w:sz="4"/>
                    <w:bottom w:val="single" w:color="000000" w:sz="4"/>
                    <w:right w:val="single" w:color="000000" w:sz="4"/>
                  </w:tcBorders>
                </w:tcPr>
                <w:p/>
              </w:tc>
              <w:tc>
                <w:tcPr>
                  <w:tcW w:type="dxa" w:w="1154"/>
                  <w:vMerge/>
                  <w:tcBorders>
                    <w:top w:val="none" w:color="000000" w:sz="4"/>
                    <w:left w:val="none" w:color="000000" w:sz="4"/>
                    <w:bottom w:val="single" w:color="000000" w:sz="4"/>
                    <w:right w:val="single" w:color="000000" w:sz="4"/>
                  </w:tcBorders>
                </w:tcP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因中标人没有按时更换备件造成重大事故的，扣</w:t>
                  </w:r>
                  <w:r>
                    <w:rPr>
                      <w:sz w:val="21"/>
                    </w:rPr>
                    <w:t>15分/次；</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19</w:t>
                  </w:r>
                </w:p>
              </w:tc>
              <w:tc>
                <w:tcPr>
                  <w:tcW w:type="dxa" w:w="55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抢修服务</w:t>
                  </w:r>
                </w:p>
              </w:tc>
              <w:tc>
                <w:tcPr>
                  <w:tcW w:type="dxa" w:w="11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抢修服务</w:t>
                  </w:r>
                </w:p>
              </w:tc>
              <w:tc>
                <w:tcPr>
                  <w:tcW w:type="dxa" w:w="2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sz w:val="21"/>
                    </w:rPr>
                    <w:t>在接到采购人抢修需求时，应在规定时间到达现场进行抢修，每超出</w:t>
                  </w:r>
                  <w:r>
                    <w:rPr>
                      <w:sz w:val="21"/>
                    </w:rPr>
                    <w:t>30分钟到达现场，扣0.5分。</w:t>
                  </w:r>
                </w:p>
              </w:tc>
              <w:tc>
                <w:tcPr>
                  <w:tcW w:type="dxa" w:w="889"/>
                  <w:tcBorders>
                    <w:top w:val="none" w:color="000000" w:sz="4"/>
                    <w:left w:val="none" w:color="000000" w:sz="4"/>
                    <w:bottom w:val="single" w:color="000000" w:sz="4"/>
                    <w:right w:val="double" w:color="000000" w:sz="4"/>
                  </w:tcBorders>
                  <w:tcMar>
                    <w:top w:type="dxa" w:w="60"/>
                    <w:left w:type="dxa" w:w="90"/>
                    <w:bottom w:type="dxa" w:w="60"/>
                    <w:right w:type="dxa" w:w="90"/>
                  </w:tcMar>
                  <w:vAlign w:val="top"/>
                </w:tcPr>
                <w:p>
                  <w:pPr>
                    <w:pStyle w:val="null3"/>
                    <w:jc w:val="left"/>
                  </w:pPr>
                </w:p>
              </w:tc>
            </w:tr>
            <w:tr>
              <w:tc>
                <w:tcPr>
                  <w:tcW w:type="dxa" w:w="385"/>
                  <w:tcBorders>
                    <w:top w:val="none" w:color="000000" w:sz="4"/>
                    <w:left w:val="double" w:color="000000" w:sz="4"/>
                    <w:bottom w:val="double" w:color="000000" w:sz="4"/>
                    <w:right w:val="single" w:color="000000" w:sz="4"/>
                  </w:tcBorders>
                  <w:tcMar>
                    <w:top w:type="dxa" w:w="60"/>
                    <w:left w:type="dxa" w:w="90"/>
                    <w:bottom w:type="dxa" w:w="60"/>
                    <w:right w:type="dxa" w:w="90"/>
                  </w:tcMar>
                  <w:vAlign w:val="top"/>
                </w:tcPr>
                <w:p/>
              </w:tc>
              <w:tc>
                <w:tcPr>
                  <w:tcW w:type="dxa" w:w="4324"/>
                  <w:gridSpan w:val="3"/>
                  <w:tcBorders>
                    <w:top w:val="none" w:color="000000" w:sz="4"/>
                    <w:left w:val="none" w:color="000000" w:sz="4"/>
                    <w:bottom w:val="double" w:color="000000" w:sz="4"/>
                    <w:right w:val="single" w:color="000000" w:sz="4"/>
                  </w:tcBorders>
                  <w:tcMar>
                    <w:top w:type="dxa" w:w="60"/>
                    <w:left w:type="dxa" w:w="90"/>
                    <w:bottom w:type="dxa" w:w="60"/>
                    <w:right w:type="dxa" w:w="90"/>
                  </w:tcMar>
                  <w:vAlign w:val="top"/>
                </w:tcPr>
                <w:p>
                  <w:pPr>
                    <w:pStyle w:val="null3"/>
                    <w:jc w:val="left"/>
                  </w:pPr>
                  <w:r>
                    <w:rPr>
                      <w:sz w:val="21"/>
                    </w:rPr>
                    <w:t>总分</w:t>
                  </w:r>
                </w:p>
              </w:tc>
              <w:tc>
                <w:tcPr>
                  <w:tcW w:type="dxa" w:w="889"/>
                  <w:tcBorders>
                    <w:top w:val="none" w:color="000000" w:sz="4"/>
                    <w:left w:val="none" w:color="000000" w:sz="4"/>
                    <w:bottom w:val="double" w:color="000000" w:sz="4"/>
                    <w:right w:val="double" w:color="000000" w:sz="4"/>
                  </w:tcBorders>
                  <w:tcMar>
                    <w:top w:type="dxa" w:w="60"/>
                    <w:left w:type="dxa" w:w="90"/>
                    <w:bottom w:type="dxa" w:w="60"/>
                    <w:right w:type="dxa" w:w="90"/>
                  </w:tcMar>
                  <w:vAlign w:val="top"/>
                </w:tcPr>
                <w:p>
                  <w:pPr>
                    <w:pStyle w:val="null3"/>
                    <w:jc w:val="left"/>
                  </w:pPr>
                </w:p>
              </w:tc>
            </w:tr>
          </w:tbl>
          <w:p/>
        </w:tc>
      </w:tr>
      <w:tr>
        <w:tc>
          <w:tcPr>
            <w:tcW w:type="dxa" w:w="2076"/>
          </w:tcPr>
          <w:p/>
        </w:tc>
        <w:tc>
          <w:tcPr>
            <w:tcW w:type="dxa" w:w="415"/>
          </w:tcPr>
          <w:p>
            <w:pPr>
              <w:pStyle w:val="null3"/>
            </w:pPr>
            <w:r>
              <w:rPr/>
              <w:t>41</w:t>
            </w:r>
          </w:p>
        </w:tc>
        <w:tc>
          <w:tcPr>
            <w:tcW w:type="dxa" w:w="5814"/>
          </w:tcPr>
          <w:p>
            <w:pPr>
              <w:pStyle w:val="null3"/>
              <w:ind w:right="180"/>
              <w:jc w:val="both"/>
            </w:pPr>
            <w:r>
              <w:rPr>
                <w:sz w:val="21"/>
              </w:rPr>
              <w:t>七</w:t>
            </w:r>
            <w:r>
              <w:rPr>
                <w:sz w:val="21"/>
              </w:rPr>
              <w:t>、保密要求</w:t>
            </w:r>
          </w:p>
          <w:p>
            <w:pPr>
              <w:pStyle w:val="null3"/>
              <w:ind w:right="180"/>
              <w:jc w:val="both"/>
            </w:pPr>
            <w:r>
              <w:rPr>
                <w:sz w:val="21"/>
              </w:rPr>
              <w:t>1.为切实加强大数据平台各项应用的安全使用和管理，确保国家秘密和警务工作秘密的绝对安全，严防出现因越权访问、违规操作等造成公安信息泄露、侵犯公民隐私的行为发生，系统用户必须严格落实公安信息共享查询应用“七不准”管理规定，并承诺做到：</w:t>
            </w:r>
          </w:p>
          <w:p>
            <w:pPr>
              <w:pStyle w:val="null3"/>
              <w:ind w:right="180"/>
              <w:jc w:val="both"/>
            </w:pPr>
            <w:r>
              <w:rPr>
                <w:sz w:val="21"/>
              </w:rPr>
              <w:t>（</w:t>
            </w:r>
            <w:r>
              <w:rPr>
                <w:sz w:val="21"/>
              </w:rPr>
              <w:t>1）严格遵守国家保密法律、法规和有关规章制度，履行保密义务，保守党和国家的秘密、保守公安工作秘密。</w:t>
            </w:r>
          </w:p>
          <w:p>
            <w:pPr>
              <w:pStyle w:val="null3"/>
              <w:ind w:right="180"/>
              <w:jc w:val="both"/>
            </w:pPr>
            <w:r>
              <w:rPr>
                <w:sz w:val="21"/>
              </w:rPr>
              <w:t>（</w:t>
            </w:r>
            <w:r>
              <w:rPr>
                <w:sz w:val="21"/>
              </w:rPr>
              <w:t>2）不将应用系统授权数字证书或账号转借他人使用。</w:t>
            </w:r>
          </w:p>
          <w:p>
            <w:pPr>
              <w:pStyle w:val="null3"/>
              <w:ind w:right="180"/>
              <w:jc w:val="both"/>
            </w:pPr>
            <w:r>
              <w:rPr>
                <w:sz w:val="21"/>
              </w:rPr>
              <w:t>（</w:t>
            </w:r>
            <w:r>
              <w:rPr>
                <w:sz w:val="21"/>
              </w:rPr>
              <w:t>3）不违规申报和审批系统授权用户。</w:t>
            </w:r>
          </w:p>
          <w:p>
            <w:pPr>
              <w:pStyle w:val="null3"/>
              <w:ind w:right="180"/>
              <w:jc w:val="both"/>
            </w:pPr>
            <w:r>
              <w:rPr>
                <w:sz w:val="21"/>
              </w:rPr>
              <w:t>（</w:t>
            </w:r>
            <w:r>
              <w:rPr>
                <w:sz w:val="21"/>
              </w:rPr>
              <w:t>4）不非法扫描、入侵系统，扰乱系统正常运行。</w:t>
            </w:r>
          </w:p>
          <w:p>
            <w:pPr>
              <w:pStyle w:val="null3"/>
              <w:ind w:right="180"/>
              <w:jc w:val="both"/>
            </w:pPr>
            <w:r>
              <w:rPr>
                <w:sz w:val="21"/>
              </w:rPr>
              <w:t>（</w:t>
            </w:r>
            <w:r>
              <w:rPr>
                <w:sz w:val="21"/>
              </w:rPr>
              <w:t>5）不公开宣传、与无关人员谈论应用系统及其相关内容。</w:t>
            </w:r>
          </w:p>
          <w:p>
            <w:pPr>
              <w:pStyle w:val="null3"/>
              <w:ind w:right="180"/>
              <w:jc w:val="both"/>
            </w:pPr>
            <w:r>
              <w:rPr>
                <w:sz w:val="21"/>
              </w:rPr>
              <w:t>（</w:t>
            </w:r>
            <w:r>
              <w:rPr>
                <w:sz w:val="21"/>
              </w:rPr>
              <w:t>6）不泄露、传播或出售通过应用系统获取的信息。</w:t>
            </w:r>
          </w:p>
          <w:p>
            <w:pPr>
              <w:pStyle w:val="null3"/>
              <w:ind w:right="180"/>
              <w:jc w:val="both"/>
            </w:pPr>
            <w:r>
              <w:rPr>
                <w:sz w:val="21"/>
              </w:rPr>
              <w:t>（</w:t>
            </w:r>
            <w:r>
              <w:rPr>
                <w:sz w:val="21"/>
              </w:rPr>
              <w:t>7）不对应用系统应用违规行为隐瞒不报、包庇袒护。</w:t>
            </w:r>
          </w:p>
          <w:p>
            <w:pPr>
              <w:pStyle w:val="null3"/>
              <w:ind w:right="180"/>
              <w:jc w:val="both"/>
            </w:pPr>
            <w:r>
              <w:rPr>
                <w:sz w:val="21"/>
              </w:rPr>
              <w:t>（</w:t>
            </w:r>
            <w:r>
              <w:rPr>
                <w:sz w:val="21"/>
              </w:rPr>
              <w:t>8）非因工作原因，不使用应用系统获取的各类信息。</w:t>
            </w:r>
          </w:p>
          <w:p>
            <w:pPr>
              <w:pStyle w:val="null3"/>
              <w:ind w:right="180"/>
              <w:jc w:val="both"/>
            </w:pPr>
            <w:r>
              <w:rPr>
                <w:sz w:val="21"/>
              </w:rPr>
              <w:t>2.应遵守采购人各项规章制度、工作流程和安全保密规定，接受采购人日常工作管理，做好安全检查与防范工作。驻场人员应按照采购人要求签署保密协议，承担安全保密责任和义务，并通过人防和技防手段确保运维过程中产生的各类交易信息数据安全保密。</w:t>
            </w:r>
          </w:p>
          <w:p>
            <w:pPr>
              <w:pStyle w:val="null3"/>
              <w:ind w:right="180"/>
              <w:jc w:val="both"/>
            </w:pPr>
            <w:r>
              <w:rPr>
                <w:sz w:val="21"/>
              </w:rPr>
              <w:t>3.中标人对采购人所提供的所有资料以及在合同签订、履行过程中所接触到的采购人及其关联公司的商业秘密、技术资料信息等资料和信息（统称“保密资料”）负有保密义务。未经采购人书面许可，中标人不得向任何第三方披露，不得将保密资料的部分或全部用于本合同约定事项以外的其他用途。中标人有义务对保密资料采取不低于对其本身商业秘密所采取的保护手段予以保护。中标人可仅为合同目的向其内部有知悉保密资料必要的工作人员披露保密资料，但同时须指示其工作人员遵守本条规定的保密及不披露义务。</w:t>
            </w:r>
          </w:p>
          <w:p>
            <w:pPr>
              <w:pStyle w:val="null3"/>
              <w:ind w:right="180"/>
              <w:jc w:val="both"/>
            </w:pPr>
            <w:r>
              <w:rPr>
                <w:sz w:val="21"/>
              </w:rPr>
              <w:t>4.中标人仅可以为履行合同之目的对保密资料进行复制。中标人不得以任何方式（如软硬盘、图纸、彩样、照片、菲林、光盘等）留存保密资料。中标人应当在完成本项目任务或本合同终止或解除时将保密资料原件全部返还采购人，并销毁所有复制件。中标人应当妥善保管保密资料，并对保密资料在中标人服务期间发生的被盗、泄露或其他有损保密资料保密性的事件承担全部责任，因此造成采购人损失的，中标人应负责赔偿。</w:t>
            </w:r>
          </w:p>
          <w:p>
            <w:pPr>
              <w:pStyle w:val="null3"/>
              <w:ind w:right="180"/>
              <w:jc w:val="both"/>
            </w:pPr>
            <w:r>
              <w:rPr>
                <w:sz w:val="21"/>
              </w:rPr>
              <w:t>5.当出现下述情况时，本条对保密资料的限制不适用。当保密资料：</w:t>
            </w:r>
          </w:p>
          <w:p>
            <w:pPr>
              <w:pStyle w:val="null3"/>
              <w:ind w:right="180"/>
              <w:jc w:val="both"/>
            </w:pPr>
            <w:r>
              <w:rPr>
                <w:sz w:val="21"/>
              </w:rPr>
              <w:t>（</w:t>
            </w:r>
            <w:r>
              <w:rPr>
                <w:sz w:val="21"/>
              </w:rPr>
              <w:t>1）并非中标人的过错而已经进入公有领域的。</w:t>
            </w:r>
          </w:p>
          <w:p>
            <w:pPr>
              <w:pStyle w:val="null3"/>
              <w:ind w:right="180"/>
              <w:jc w:val="both"/>
            </w:pPr>
            <w:r>
              <w:rPr>
                <w:sz w:val="21"/>
              </w:rPr>
              <w:t>（</w:t>
            </w:r>
            <w:r>
              <w:rPr>
                <w:sz w:val="21"/>
              </w:rPr>
              <w:t>2）已通过该方的有关记录证明是由中标人独立开发的。</w:t>
            </w:r>
          </w:p>
          <w:p>
            <w:pPr>
              <w:pStyle w:val="null3"/>
              <w:ind w:right="180"/>
              <w:jc w:val="both"/>
            </w:pPr>
            <w:r>
              <w:rPr>
                <w:sz w:val="21"/>
              </w:rPr>
              <w:t>（</w:t>
            </w:r>
            <w:r>
              <w:rPr>
                <w:sz w:val="21"/>
              </w:rPr>
              <w:t>3）由中标人从没有违反对采购人的保密义务的人合法取得的。</w:t>
            </w:r>
          </w:p>
          <w:p>
            <w:pPr>
              <w:pStyle w:val="null3"/>
              <w:ind w:right="180"/>
              <w:jc w:val="both"/>
            </w:pPr>
            <w:r>
              <w:rPr>
                <w:sz w:val="21"/>
              </w:rPr>
              <w:t>（</w:t>
            </w:r>
            <w:r>
              <w:rPr>
                <w:sz w:val="21"/>
              </w:rPr>
              <w:t>4）法律要求中标人披露的，但中标人应在合理的时间提前通知采购人，使其得以采取其认为必要的保护措施。</w:t>
            </w:r>
          </w:p>
          <w:p>
            <w:pPr>
              <w:pStyle w:val="null3"/>
              <w:ind w:right="180"/>
              <w:jc w:val="both"/>
            </w:pPr>
            <w:r>
              <w:rPr>
                <w:sz w:val="21"/>
              </w:rPr>
              <w:t>6.如中标人违反合同关于保密的约定，中标人应赔偿因此而给采购人造成的一切损失。</w:t>
            </w:r>
          </w:p>
          <w:p>
            <w:pPr>
              <w:pStyle w:val="null3"/>
              <w:jc w:val="both"/>
            </w:pPr>
            <w:r>
              <w:rPr>
                <w:sz w:val="21"/>
              </w:rPr>
              <w:t>7.保密条款自保密资料提供或披露之日起至永久有效。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1.采购代理机构：本项目是指中山市畅达工程管理有限公司，负责整个采购活动的组织，依法负责编制和发布招标文件，对招标文件拥有最终的解释权，不以任何身份出任评标委员会成员。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中山市公安局古镇分局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采购机构代理服务收费标准：采购机构代理服务收费标准：参照国家《招标代理服务收费管理暂行办法》计价格[2002]1980号文和发改价格[2011]534 号有关规定“服务类”计费标准下浮30％，向中标（成交）供应商收取服务费，招标代理服务费以中标通知书的中标（成交）价为取费基价，按差额定率累进法计算。若服务费不足¥8000.00元的，按¥8000.00元收取。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本项目开标方式为“远程开标”，请供应商在开标时间截止前，将加密的投标（响应）文件上传至云平台项目采购系统中，逾期上传或错误方式投递送达将导致投标无效。本项目将在云平台进行在线签到及在线解密，远程开标操作指南（供应商版）：https://gdgpo.czt.gd.gov.cn/h elp/transac tion/gongyinshan.html。 关于中山市政府采购支持中小微企业质押融资优惠政策，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 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13702797626（2）工商银行中山分行 普惠金融事业部 杨培鹏 15900085352 普惠金融事业部 陈韵诗 18928106880（3）农业银行中山分行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2.中小微企业有融资需求的，可通过广东省中小微企业信用信息和融资对接平台（网址：https://finance.gzebsc.cn）向辖内特定或非特定银行机构咨询并提出融资申请。 3.采购人应当及时在广东省中小微企业信用信息和融资对接平台（网址：https://finance.gzebsc.cn）确认债权债务关系，支持中小微企业融资。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 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中山市畅达工程管理有限公司</w:t>
      </w:r>
      <w:r>
        <w:rPr/>
        <w:t>代收。具体操作要求详见</w:t>
      </w:r>
      <w:r>
        <w:rPr/>
        <w:t>中山市畅达工程管理有限公司</w:t>
      </w:r>
      <w:r>
        <w:rPr/>
        <w:t>有关指引，递交事宜请自行咨询</w:t>
      </w:r>
      <w:r>
        <w:rPr/>
        <w:t>中山市畅达工程管理有限公司</w:t>
      </w:r>
      <w:r>
        <w:rPr/>
        <w:t>；请各投标人在投标文件递交截止时间前按须知前附表规定的金额递交至</w:t>
      </w:r>
      <w:r>
        <w:rPr/>
        <w:t>中山市畅达工程管理有限公司</w:t>
      </w:r>
      <w:r>
        <w:rPr/>
        <w:t>，到账情况以开标时</w:t>
      </w:r>
      <w:r>
        <w:rPr/>
        <w:t>中山市畅达工程管理有限公司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陈湘莹</w:t>
      </w:r>
    </w:p>
    <w:p>
      <w:pPr>
        <w:pStyle w:val="null3"/>
        <w:ind w:firstLine="480"/>
      </w:pPr>
      <w:r>
        <w:rPr/>
        <w:t>电话：</w:t>
      </w:r>
      <w:r>
        <w:rPr/>
        <w:t>0760-88167769</w:t>
      </w:r>
    </w:p>
    <w:p>
      <w:pPr>
        <w:pStyle w:val="null3"/>
        <w:ind w:firstLine="480"/>
      </w:pPr>
      <w:r>
        <w:rPr/>
        <w:t>传真：</w:t>
      </w:r>
      <w:r>
        <w:rPr/>
        <w:t>/</w:t>
      </w:r>
    </w:p>
    <w:p>
      <w:pPr>
        <w:pStyle w:val="null3"/>
        <w:ind w:firstLine="480"/>
      </w:pPr>
      <w:r>
        <w:rPr/>
        <w:t>邮箱：</w:t>
      </w:r>
      <w:r>
        <w:rPr/>
        <w:t>zscdzbdl@163.com</w:t>
      </w:r>
    </w:p>
    <w:p>
      <w:pPr>
        <w:pStyle w:val="null3"/>
        <w:ind w:firstLine="480"/>
      </w:pPr>
      <w:r>
        <w:rPr/>
        <w:t>地址：</w:t>
      </w:r>
      <w:r>
        <w:rPr/>
        <w:t>中山市东区起湾南道3号竹苑广场之二五层</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古镇公安分局2024-2027年度政务信息化项目（警务通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中山市畅达工程管理有限公司</w:t>
      </w:r>
      <w:r>
        <w:rPr/>
        <w:t>统一对外发布。</w:t>
      </w:r>
    </w:p>
    <w:p>
      <w:pPr>
        <w:pStyle w:val="null3"/>
        <w:ind w:firstLine="480"/>
      </w:pPr>
      <w:r>
        <w:rPr/>
        <w:t>（2）对</w:t>
      </w:r>
      <w:r>
        <w:rPr/>
        <w:t>中山市畅达工程管理有限公司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采购包1（古镇公安分局2024-2027年度政务信息化项目（警务通项目））：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投标（响应）供应商报价给予C1的价格扣除（C1的取值范围见价格扣除比例），即：评标（评审）价＝核实价－小微企业核实价×C1。 对小型和微型企业的报价给予相应百比的扣除，用扣除后的价格参与评审。监狱企业、残疾人福利性单位视同小型、微型企业，享受同等价格扣除，但同时属于监狱企业、残疾人福利性单位和小微企业的，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采购包1（古镇公安分局2024-2027年度政务信息化项目（警务通项目））：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时提供近12个月内任意1个月依法缴纳税收和社会保障资金的缴费凭证等相关材料(如依法免税或不需要缴纳社会保障资金的，提供相应证明材料)。或提供《政府采购供应商资格信用承诺函》（格式详见公告附件），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经审计的财务报告或近12个月内任意1个月编制的财务报表或基本开户行出具的资信证明或政府采购专业担保机构出具的投标担保函。或提供《政府采购供应商资格信用承诺函》（格式详见公告附件），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提供承诺函（格式自拟），或按投标（响应）文件格式填报设备和专业技术能力情况。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格式详见公告附件）。若供应商同时提供承诺函和证明材料的，资格审查时以证明材料为准。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采购包1（古镇公安分局2024-2027年度政务信息化项目（警务通项目））：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投标函及投标有效期符合要求</w:t>
            </w:r>
          </w:p>
        </w:tc>
      </w:tr>
      <w:tr>
        <w:tc>
          <w:tcPr>
            <w:tcW w:type="dxa" w:w="890"/>
          </w:tcPr>
          <w:p>
            <w:pPr>
              <w:pStyle w:val="null3"/>
            </w:pPr>
            <w:r>
              <w:rPr/>
              <w:t>2</w:t>
            </w:r>
          </w:p>
        </w:tc>
        <w:tc>
          <w:tcPr>
            <w:tcW w:type="dxa" w:w="3178"/>
          </w:tcPr>
          <w:p>
            <w:pPr>
              <w:pStyle w:val="null3"/>
            </w:pPr>
            <w:r>
              <w:rPr/>
              <w:t>公章和签署</w:t>
            </w:r>
          </w:p>
        </w:tc>
        <w:tc>
          <w:tcPr>
            <w:tcW w:type="dxa" w:w="4238"/>
          </w:tcPr>
          <w:p>
            <w:pPr>
              <w:pStyle w:val="null3"/>
            </w:pPr>
            <w:r>
              <w:rPr/>
              <w:t>按招标文件规定加盖公章和签署</w:t>
            </w:r>
          </w:p>
        </w:tc>
      </w:tr>
      <w:tr>
        <w:tc>
          <w:tcPr>
            <w:tcW w:type="dxa" w:w="890"/>
          </w:tcPr>
          <w:p>
            <w:pPr>
              <w:pStyle w:val="null3"/>
            </w:pPr>
            <w:r>
              <w:rPr/>
              <w:t>3</w:t>
            </w:r>
          </w:p>
        </w:tc>
        <w:tc>
          <w:tcPr>
            <w:tcW w:type="dxa" w:w="3178"/>
          </w:tcPr>
          <w:p>
            <w:pPr>
              <w:pStyle w:val="null3"/>
            </w:pPr>
            <w:r>
              <w:rPr/>
              <w:t>资格证明书及授权委托书</w:t>
            </w:r>
          </w:p>
        </w:tc>
        <w:tc>
          <w:tcPr>
            <w:tcW w:type="dxa" w:w="4238"/>
          </w:tcPr>
          <w:p>
            <w:pPr>
              <w:pStyle w:val="null3"/>
            </w:pPr>
            <w:r>
              <w:rPr/>
              <w:t>已提交法定代表人/负责人资格证明书及授权委托书</w:t>
            </w:r>
          </w:p>
        </w:tc>
      </w:tr>
      <w:tr>
        <w:tc>
          <w:tcPr>
            <w:tcW w:type="dxa" w:w="890"/>
          </w:tcPr>
          <w:p>
            <w:pPr>
              <w:pStyle w:val="null3"/>
            </w:pPr>
            <w:r>
              <w:rPr/>
              <w:t>4</w:t>
            </w:r>
          </w:p>
        </w:tc>
        <w:tc>
          <w:tcPr>
            <w:tcW w:type="dxa" w:w="3178"/>
          </w:tcPr>
          <w:p>
            <w:pPr>
              <w:pStyle w:val="null3"/>
            </w:pPr>
            <w:r>
              <w:rPr/>
              <w:t>投标文件主要资料</w:t>
            </w:r>
          </w:p>
        </w:tc>
        <w:tc>
          <w:tcPr>
            <w:tcW w:type="dxa" w:w="4238"/>
          </w:tcPr>
          <w:p>
            <w:pPr>
              <w:pStyle w:val="null3"/>
            </w:pPr>
            <w:r>
              <w:rPr/>
              <w:t>投标文件主要资料齐全</w:t>
            </w:r>
          </w:p>
        </w:tc>
      </w:tr>
      <w:tr>
        <w:tc>
          <w:tcPr>
            <w:tcW w:type="dxa" w:w="890"/>
          </w:tcPr>
          <w:p>
            <w:pPr>
              <w:pStyle w:val="null3"/>
            </w:pPr>
            <w:r>
              <w:rPr/>
              <w:t>5</w:t>
            </w:r>
          </w:p>
        </w:tc>
        <w:tc>
          <w:tcPr>
            <w:tcW w:type="dxa" w:w="3178"/>
          </w:tcPr>
          <w:p>
            <w:pPr>
              <w:pStyle w:val="null3"/>
            </w:pPr>
            <w:r>
              <w:rPr/>
              <w:t>最高限价</w:t>
            </w:r>
          </w:p>
        </w:tc>
        <w:tc>
          <w:tcPr>
            <w:tcW w:type="dxa" w:w="4238"/>
          </w:tcPr>
          <w:p>
            <w:pPr>
              <w:pStyle w:val="null3"/>
            </w:pPr>
            <w:r>
              <w:rPr/>
              <w:t>投标价格是唯一固定价且未超过本项目的最高限价</w:t>
            </w:r>
          </w:p>
        </w:tc>
      </w:tr>
      <w:tr>
        <w:tc>
          <w:tcPr>
            <w:tcW w:type="dxa" w:w="890"/>
          </w:tcPr>
          <w:p>
            <w:pPr>
              <w:pStyle w:val="null3"/>
            </w:pPr>
            <w:r>
              <w:rPr/>
              <w:t>6</w:t>
            </w:r>
          </w:p>
        </w:tc>
        <w:tc>
          <w:tcPr>
            <w:tcW w:type="dxa" w:w="3178"/>
          </w:tcPr>
          <w:p>
            <w:pPr>
              <w:pStyle w:val="null3"/>
            </w:pPr>
            <w:r>
              <w:rPr/>
              <w:t>带“★”号条款要求</w:t>
            </w:r>
          </w:p>
        </w:tc>
        <w:tc>
          <w:tcPr>
            <w:tcW w:type="dxa" w:w="4238"/>
          </w:tcPr>
          <w:p>
            <w:pPr>
              <w:pStyle w:val="null3"/>
            </w:pPr>
            <w:r>
              <w:rPr/>
              <w:t>实质性满足采购需求的带“★”号条款要求。</w:t>
            </w:r>
          </w:p>
        </w:tc>
      </w:tr>
      <w:tr>
        <w:tc>
          <w:tcPr>
            <w:tcW w:type="dxa" w:w="890"/>
          </w:tcPr>
          <w:p>
            <w:pPr>
              <w:pStyle w:val="null3"/>
            </w:pPr>
            <w:r>
              <w:rPr/>
              <w:t>7</w:t>
            </w:r>
          </w:p>
        </w:tc>
        <w:tc>
          <w:tcPr>
            <w:tcW w:type="dxa" w:w="3178"/>
          </w:tcPr>
          <w:p>
            <w:pPr>
              <w:pStyle w:val="null3"/>
            </w:pPr>
            <w:r>
              <w:rPr/>
              <w:t>其他情形</w:t>
            </w:r>
          </w:p>
        </w:tc>
        <w:tc>
          <w:tcPr>
            <w:tcW w:type="dxa" w:w="4238"/>
          </w:tcPr>
          <w:p>
            <w:pPr>
              <w:pStyle w:val="null3"/>
            </w:pPr>
            <w:r>
              <w:rPr/>
              <w:t>无采购文件或法规明确规定可以视为无效投标的其他情形。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采购包1(古镇公安分局2024-2027年度政务信息化项目（警务通项目）):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对附件1中非“★”、“▲”的条款响应情况 (8.0分)</w:t>
            </w:r>
          </w:p>
        </w:tc>
        <w:tc>
          <w:tcPr>
            <w:tcW w:type="dxa" w:w="5076"/>
          </w:tcPr>
          <w:p>
            <w:pPr>
              <w:pStyle w:val="null3"/>
              <w:jc w:val="left"/>
            </w:pPr>
            <w:r>
              <w:rPr/>
              <w:t>投标人对附件1中非“★”、“▲ ”的条款响应程度评审： 附件1中《具体技术（参数）要求》共分八项参数条款。按量化指标，每无偏离或正偏离1项得1分，本项满分8分。 注：（1）评审依据以投标人投标文件中《技术和服务要求响应表》填写内容为准，未填写的视为负偏离； （2）如采购需求中有明确要求提供体证明资料的，必须按采购需求单独（额外）提供，提供的证明材料如果是英文的必须提供有资质的单位翻译成的中文版本，以翻译后的中文版本内容为准，如评标委员会无法从所提供资料中判断其响应内容是否符合要求的，视为负偏离； （3）以上两款要求，投标人无提供或未按要求提供材料的不得分； （4）每项参数条款里任意1小点未响应或负偏离，视为该点所在项负偏离不得分。</w:t>
            </w:r>
          </w:p>
        </w:tc>
      </w:tr>
      <w:tr>
        <w:tc>
          <w:tcPr>
            <w:tcW w:type="dxa" w:w="922"/>
            <w:gridSpan w:val="2"/>
            <w:vMerge/>
          </w:tcPr>
          <w:p/>
        </w:tc>
        <w:tc>
          <w:tcPr>
            <w:tcW w:type="dxa" w:w="2307"/>
          </w:tcPr>
          <w:p>
            <w:pPr>
              <w:pStyle w:val="null3"/>
              <w:jc w:val="left"/>
            </w:pPr>
            <w:r>
              <w:rPr/>
              <w:t>对附件2中：“▲”条款的响应情况 (46.0分)</w:t>
            </w:r>
          </w:p>
        </w:tc>
        <w:tc>
          <w:tcPr>
            <w:tcW w:type="dxa" w:w="5076"/>
          </w:tcPr>
          <w:p>
            <w:pPr>
              <w:pStyle w:val="null3"/>
              <w:jc w:val="left"/>
            </w:pPr>
            <w:r>
              <w:rPr/>
              <w:t>投标人对附件2中“▲”条款的响应程度评审： 附件2中共23项“▲”参数条款。按量化指标，无偏离或正偏离1项得2分，本项满分46分。 注： （1）评审依据以投标人投标文件中《技术和服务要求响应表》填写内容为准，未填写的视为负偏离； （2）如采购需求中有明确要求提供具体证明资料的，必须按采购需求单独（额外）提供，提供的证明材料如果是英文的必须提供有资质的单位翻译成的中文版本，以翻译后的中文版本内容为准，如评标委员会无法从所提供资料中判断其响应内容是否符合要求的，视为负偏离； （3）以上两款要求，投标人无提供或未按要求提供材料的不得分； （4）每项参数条款里任意1小点未响应或负偏离，视为该点所在项负偏离不得分。</w:t>
            </w:r>
          </w:p>
        </w:tc>
      </w:tr>
      <w:tr>
        <w:tc>
          <w:tcPr>
            <w:tcW w:type="dxa" w:w="922"/>
            <w:gridSpan w:val="2"/>
            <w:vMerge/>
          </w:tcPr>
          <w:p/>
        </w:tc>
        <w:tc>
          <w:tcPr>
            <w:tcW w:type="dxa" w:w="2307"/>
          </w:tcPr>
          <w:p>
            <w:pPr>
              <w:pStyle w:val="null3"/>
              <w:jc w:val="left"/>
            </w:pPr>
            <w:r>
              <w:rPr/>
              <w:t>总体运维方案 (6.0分)</w:t>
            </w:r>
            <w:r>
              <w:rPr/>
              <w:t>，（等次分值选择：</w:t>
            </w:r>
            <w:r>
              <w:rPr/>
              <w:t>0.0;</w:t>
            </w:r>
            <w:r>
              <w:rPr/>
              <w:t>3.0;</w:t>
            </w:r>
            <w:r>
              <w:rPr/>
              <w:t>6.0;</w:t>
            </w:r>
            <w:r>
              <w:rPr/>
              <w:t>）</w:t>
            </w:r>
          </w:p>
        </w:tc>
        <w:tc>
          <w:tcPr>
            <w:tcW w:type="dxa" w:w="5076"/>
          </w:tcPr>
          <w:p>
            <w:pPr>
              <w:pStyle w:val="null3"/>
              <w:jc w:val="left"/>
            </w:pPr>
            <w:r>
              <w:rPr/>
              <w:t>根据投标人针对本项目提供的总体运维方案进行评审，内容包括但不限于：基础运维、系统运维、硬件维护、信息安全运维、工作交接、运维响应时效、备品备件管理、运维流程管理、运维驻场服务考核等。 1.建立的运维管理体系十分健全,有完善运维管理制度、运维管理流程科学、合理,工作交接方案范围清晰，有完整的工作交接原则、流程，运维响应时效、备品备件配置、运维驻场服务考核安排十分完善合理，完全满足招标文件要求，得6分； 2.建立的运维管理体系一般，运维管理制度、运维管理流程基本合理，工作交接方案范围基本清晰、有工作交接原则、流程，运维响应时效、备品备件配置、运维驻场服务考核安排基本合理，基本满足招标文件要求，得3分； 3.建立运维管理体系差，运维管理制度、运维管理流程不合理，工作交接方案范围模糊、工作交接流程运维响应时效、备品备件配置、运维驻场服务考核安排不能满足招标文件要求，或未提供方案，得0分。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认证证书 (4.0分)</w:t>
            </w:r>
          </w:p>
        </w:tc>
        <w:tc>
          <w:tcPr>
            <w:tcW w:type="dxa" w:w="5076"/>
          </w:tcPr>
          <w:p>
            <w:pPr>
              <w:pStyle w:val="null3"/>
              <w:jc w:val="left"/>
            </w:pPr>
            <w:r>
              <w:rPr/>
              <w:t>根据投标人的认证体系及技术能力进行评审： 1.投标人具有有效期内的质量管理体系认证证书； 2.投标人具有有效期内的环境管理体系认证证书； 3.投标人具有有效期内的职业健康安全管理体系认证证书； 4.投标人具有有效期内的信息安全管理体系认证证书。 每个认证证书得1分，最高得4分。 注：1.如为分支机构投标，分支机构可沿用隶属机构的认证证书； 2.投标文件中提供有效认证证书复印件或全国认证认可信息公共服务平台（网址http://cx.cnca.cn）证书查询结果为有效的网页截图，并加盖投标人公章； 3.投标人成立时间不足3个月且供应商提供书面说明未能获得证书原因的，可对应得分； 4.未按要求提供的不得分。</w:t>
            </w:r>
          </w:p>
        </w:tc>
      </w:tr>
      <w:tr>
        <w:tc>
          <w:tcPr>
            <w:tcW w:type="dxa" w:w="922"/>
            <w:gridSpan w:val="2"/>
            <w:vMerge/>
          </w:tcPr>
          <w:p/>
        </w:tc>
        <w:tc>
          <w:tcPr>
            <w:tcW w:type="dxa" w:w="2307"/>
          </w:tcPr>
          <w:p>
            <w:pPr>
              <w:pStyle w:val="null3"/>
              <w:jc w:val="left"/>
            </w:pPr>
            <w:r>
              <w:rPr/>
              <w:t>项目经理 (4.0分)</w:t>
            </w:r>
          </w:p>
        </w:tc>
        <w:tc>
          <w:tcPr>
            <w:tcW w:type="dxa" w:w="5076"/>
          </w:tcPr>
          <w:p>
            <w:pPr>
              <w:pStyle w:val="null3"/>
              <w:jc w:val="left"/>
            </w:pPr>
            <w:r>
              <w:rPr/>
              <w:t>拟投入本项目的项目经理（限1人）： 1.计算机技术与软件专业技术资格信息系统项目管理师证书； 2.计算机技术与软件专业技术资格系统分析师证书； 3.IT服务项目经理（ITSS）证书； 4.注册信息安全工程师（CISE）证书； 5.通信工程师证书。 每提供1个得1分，具有其中4个证书的得满分4分。 注：1.如为分支机构投标，分支机构可沿用隶属机构的人员、资质、业绩、评价； 2.如果同一人获得同一职业资格证书的多个级别证书，按最高级别计算； 3.需同时提供以下证明材料，不提供或材料不齐全的不得分： 3.1.相关证书复印件（或扫描件）并加盖投标人公章； 3.2.投标截止时间前12个月内投标人为其购买任意一个月的参保证明复印件（或扫描件）或可证明投标人与其劳动关系的证明材料加盖投标人公章。</w:t>
            </w:r>
          </w:p>
        </w:tc>
      </w:tr>
      <w:tr>
        <w:tc>
          <w:tcPr>
            <w:tcW w:type="dxa" w:w="922"/>
            <w:gridSpan w:val="2"/>
            <w:vMerge/>
          </w:tcPr>
          <w:p/>
        </w:tc>
        <w:tc>
          <w:tcPr>
            <w:tcW w:type="dxa" w:w="2307"/>
          </w:tcPr>
          <w:p>
            <w:pPr>
              <w:pStyle w:val="null3"/>
              <w:jc w:val="left"/>
            </w:pPr>
            <w:r>
              <w:rPr/>
              <w:t>拟投入到本项目驻点人员情况 (6.0分)</w:t>
            </w:r>
          </w:p>
        </w:tc>
        <w:tc>
          <w:tcPr>
            <w:tcW w:type="dxa" w:w="5076"/>
          </w:tcPr>
          <w:p>
            <w:pPr>
              <w:pStyle w:val="null3"/>
              <w:jc w:val="left"/>
            </w:pPr>
            <w:r>
              <w:rPr/>
              <w:t>根据拟投入项目驻点人员（项目经理除外）具备警务通服务或辅警通服务工作经验进行评审（最高得6分）： （1）驻点人员具备3年以上（含3年）服务工作经验，每提供一人得3分； （2）驻点人员具备2年以上（含2年）服务工作经验，每提供一人得2分； （3）驻点人员具备1年以上（含1年）服务工作经验，每提供一人得1分。 注： 1.每位驻点人员分别计算得分，不得将不同人员的经验时长累计得分； 2.如为分支机构投标，分支机构可沿用隶属机构的人员、资质、业绩、评价； 3.需提供驻点人员工作经验证明材料及承诺函(承诺函加盖投标人公章，内容需包含所服务公安机关的联系人、联系方式），中标后采购人有权对人员材料真实性进行审核验证，如真实信息与投标承诺函信息不相符，则视为放弃中标资格。未提供证明材料或承诺函不得分。</w:t>
            </w:r>
          </w:p>
        </w:tc>
      </w:tr>
      <w:tr>
        <w:tc>
          <w:tcPr>
            <w:tcW w:type="dxa" w:w="922"/>
            <w:gridSpan w:val="2"/>
            <w:vMerge/>
          </w:tcPr>
          <w:p/>
        </w:tc>
        <w:tc>
          <w:tcPr>
            <w:tcW w:type="dxa" w:w="2307"/>
          </w:tcPr>
          <w:p>
            <w:pPr>
              <w:pStyle w:val="null3"/>
              <w:jc w:val="left"/>
            </w:pPr>
            <w:r>
              <w:rPr/>
              <w:t>同类项目业绩 (8.0分)</w:t>
            </w:r>
          </w:p>
        </w:tc>
        <w:tc>
          <w:tcPr>
            <w:tcW w:type="dxa" w:w="5076"/>
          </w:tcPr>
          <w:p>
            <w:pPr>
              <w:pStyle w:val="null3"/>
              <w:jc w:val="left"/>
            </w:pPr>
            <w:r>
              <w:rPr/>
              <w:t>投标人自2021年1月1日以来（以合同签订时间为准）具有同类（移动终端设备采购或租赁服务）项目业绩经验，每提供一份项目合同得2分，最高得8分； （注：提供合同或合同关键页（合同关键页需包括但不限于合同首页、主要内容页、签字盖章页等能甄别项目信息的页面）、项目发票等资金结算材料、项目验收报告（或项目验收表等同类文件）加盖投标人公章，未按要求提供不得分。）</w:t>
            </w:r>
          </w:p>
        </w:tc>
      </w:tr>
      <w:tr>
        <w:tc>
          <w:tcPr>
            <w:tcW w:type="dxa" w:w="922"/>
            <w:gridSpan w:val="2"/>
            <w:vMerge/>
          </w:tcPr>
          <w:p/>
        </w:tc>
        <w:tc>
          <w:tcPr>
            <w:tcW w:type="dxa" w:w="2307"/>
          </w:tcPr>
          <w:p>
            <w:pPr>
              <w:pStyle w:val="null3"/>
              <w:jc w:val="left"/>
            </w:pPr>
            <w:r>
              <w:rPr/>
              <w:t>客户评价 (4.0分)</w:t>
            </w:r>
          </w:p>
        </w:tc>
        <w:tc>
          <w:tcPr>
            <w:tcW w:type="dxa" w:w="5076"/>
          </w:tcPr>
          <w:p>
            <w:pPr>
              <w:pStyle w:val="null3"/>
              <w:jc w:val="left"/>
            </w:pPr>
            <w:r>
              <w:rPr/>
              <w:t>根据投标人上述有效“同类业绩”情况：该业绩获得业主单位的好评（或相同含义的评价）或同等级别的评价，每提供一份证明材料，得1分，本项最高得4分。 注： 1.提供对应项目的服务评价证明材料复印件或扫描件（证明文件应有客户单位公章，客户单位名称与合同一致）逐一附在以上业绩合同后作为评审依据； 2.针对一份有效合同，投标人提供一份或多份好评的，只按一份好评计算； 3.如为分支机构投标，分支机构可沿用隶属机构的人员、资质、业绩、评价； 4.提供的好评与有效业绩无法对应或没有提供的不得分。</w:t>
            </w:r>
          </w:p>
        </w:tc>
      </w:tr>
      <w:tr>
        <w:tc>
          <w:tcPr>
            <w:tcW w:type="dxa" w:w="922"/>
            <w:gridSpan w:val="2"/>
            <w:vMerge/>
          </w:tcPr>
          <w:p/>
        </w:tc>
        <w:tc>
          <w:tcPr>
            <w:tcW w:type="dxa" w:w="2307"/>
          </w:tcPr>
          <w:p>
            <w:pPr>
              <w:pStyle w:val="null3"/>
              <w:jc w:val="left"/>
            </w:pPr>
            <w:r>
              <w:rPr/>
              <w:t>增值服务 (4.0分)</w:t>
            </w:r>
          </w:p>
        </w:tc>
        <w:tc>
          <w:tcPr>
            <w:tcW w:type="dxa" w:w="5076"/>
          </w:tcPr>
          <w:p>
            <w:pPr>
              <w:pStyle w:val="null3"/>
              <w:jc w:val="left"/>
            </w:pPr>
            <w:r>
              <w:rPr/>
              <w:t>根据投标人提供的增值服务进行评审： 1.备用机：在招标文件要求的总数量上承诺再增加20套备用机得1分； 2.运维期：在合同约满后，中标人每免费赠送1个月的运维期，得1分，2个月得2分，以此类推，最高得3分。 注：增值服务需提供承诺函，否则不得分。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投标人按其综合得分由高到低顺序排列，综合得分相同的，按下列顺序比较确定：（1）投标报价（由低到高）、（2）商务得分（由高到低）、（3）技术得分（由高到低）；如以上都相同的，名次由评标委员会随机抽取确定。排名第一的投标人为第一中标候选人，排名第二的投标人为第二中标候选人，如此类推。 注：在评审过程中，若评委的技术评分出现差异较大的，采购人或采购代理机构可要求评委对此作出书面说明。</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项</w:t>
      </w:r>
    </w:p>
    <w:p>
      <w:pPr>
        <w:pStyle w:val="null3"/>
        <w:ind w:left="180" w:right="180"/>
        <w:jc w:val="center"/>
      </w:pPr>
      <w:r>
        <w:rPr>
          <w:sz w:val="72"/>
          <w:b/>
        </w:rPr>
        <w:t>目</w:t>
      </w:r>
    </w:p>
    <w:p>
      <w:pPr>
        <w:pStyle w:val="null3"/>
        <w:ind w:left="180" w:right="180"/>
        <w:jc w:val="center"/>
      </w:pPr>
      <w:r>
        <w:rPr/>
        <w:t xml:space="preserve"> </w:t>
      </w:r>
      <w:r>
        <w:rPr>
          <w:sz w:val="72"/>
          <w:b/>
        </w:rPr>
        <w:t>合</w:t>
      </w:r>
    </w:p>
    <w:p>
      <w:pPr>
        <w:pStyle w:val="null3"/>
        <w:ind w:left="180" w:right="180"/>
        <w:jc w:val="center"/>
      </w:pPr>
      <w:r>
        <w:rPr/>
        <w:t xml:space="preserve"> </w:t>
      </w:r>
      <w:r>
        <w:rPr>
          <w:sz w:val="72"/>
          <w:b/>
        </w:rPr>
        <w:t>同</w:t>
      </w:r>
    </w:p>
    <w:p>
      <w:pPr>
        <w:pStyle w:val="null3"/>
        <w:ind w:left="180" w:right="180"/>
        <w:jc w:val="center"/>
      </w:pPr>
      <w:r>
        <w:rPr/>
        <w:t xml:space="preserve"> </w:t>
      </w:r>
      <w:r>
        <w:rPr>
          <w:sz w:val="72"/>
          <w:b/>
        </w:rPr>
        <w:t>书</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80" w:right="180"/>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p>
            <w:pPr>
              <w:pStyle w:val="null3"/>
              <w:ind w:left="180" w:right="180"/>
              <w:jc w:val="both"/>
            </w:pPr>
            <w:r>
              <w:rPr>
                <w:sz w:val="19"/>
              </w:rPr>
              <w:t xml:space="preserve"> </w:t>
            </w:r>
          </w:p>
          <w:p>
            <w:pPr>
              <w:pStyle w:val="null3"/>
              <w:ind w:left="180" w:right="180"/>
              <w:jc w:val="both"/>
            </w:pPr>
            <w:r>
              <w:rPr>
                <w:sz w:val="19"/>
              </w:rPr>
              <w:t xml:space="preserve"> </w:t>
            </w:r>
          </w:p>
          <w:p>
            <w:pPr>
              <w:pStyle w:val="null3"/>
              <w:ind w:left="180" w:right="180"/>
              <w:jc w:val="both"/>
            </w:pPr>
            <w:r>
              <w:rPr>
                <w:sz w:val="19"/>
              </w:rPr>
              <w:t xml:space="preserve"> </w:t>
            </w:r>
          </w:p>
          <w:p>
            <w:pPr>
              <w:pStyle w:val="null3"/>
              <w:ind w:left="180" w:right="180"/>
              <w:jc w:val="both"/>
            </w:pPr>
            <w:r>
              <w:rPr>
                <w:sz w:val="28"/>
                <w:b/>
              </w:rPr>
              <w:t>采购项目编号：</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80" w:right="180"/>
              <w:jc w:val="both"/>
            </w:pPr>
            <w:r>
              <w:rPr>
                <w:sz w:val="28"/>
                <w:b/>
              </w:rPr>
              <w:t>建设单位：</w:t>
            </w:r>
            <w:r>
              <w:rPr>
                <w:sz w:val="28"/>
                <w:b/>
              </w:rPr>
              <w:t>中山市公安局古镇分局</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80" w:right="180"/>
              <w:jc w:val="both"/>
            </w:pPr>
            <w:r>
              <w:rPr>
                <w:sz w:val="28"/>
                <w:b/>
              </w:rPr>
              <w:t>承建单位：</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80" w:right="180"/>
              <w:jc w:val="both"/>
            </w:pPr>
            <w:r>
              <w:rPr>
                <w:sz w:val="28"/>
                <w:b/>
              </w:rPr>
              <w:t>签订日期：</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80" w:right="180"/>
              <w:jc w:val="both"/>
            </w:pPr>
            <w:r>
              <w:rPr>
                <w:sz w:val="28"/>
                <w:b/>
              </w:rPr>
              <w:t>签约地址：</w:t>
            </w:r>
          </w:p>
        </w:tc>
      </w:tr>
    </w:tbl>
    <w:p>
      <w:pPr>
        <w:pStyle w:val="null3"/>
        <w:ind w:left="180" w:right="180"/>
        <w:jc w:val="both"/>
      </w:pPr>
      <w:r>
        <w:rPr/>
        <w:t xml:space="preserve"> </w:t>
      </w:r>
    </w:p>
    <w:p>
      <w:pPr>
        <w:pStyle w:val="null3"/>
        <w:ind w:left="180" w:right="180"/>
        <w:jc w:val="both"/>
      </w:pPr>
      <w:r>
        <w:rPr/>
        <w:t xml:space="preserve"> </w:t>
      </w:r>
    </w:p>
    <w:p>
      <w:pPr>
        <w:pStyle w:val="null3"/>
        <w:ind w:left="180" w:right="180"/>
        <w:jc w:val="both"/>
      </w:pPr>
      <w:r>
        <w:rPr>
          <w:sz w:val="21"/>
        </w:rPr>
        <w:t>甲</w:t>
      </w:r>
      <w:r>
        <w:rPr>
          <w:sz w:val="21"/>
        </w:rPr>
        <w:t xml:space="preserve">  </w:t>
      </w:r>
      <w:r>
        <w:rPr>
          <w:sz w:val="21"/>
        </w:rPr>
        <w:t>方：</w:t>
      </w:r>
      <w:r>
        <w:rPr>
          <w:u w:val="single"/>
        </w:rPr>
        <w:t xml:space="preserve"> </w:t>
      </w:r>
      <w:r>
        <w:rPr>
          <w:sz w:val="21"/>
          <w:u w:val="single"/>
        </w:rPr>
        <w:t>中山市公安局古镇分局</w:t>
      </w:r>
      <w:r>
        <w:rPr>
          <w:u w:val="single"/>
        </w:rPr>
        <w:t xml:space="preserve"> </w:t>
      </w:r>
      <w:r>
        <w:rPr>
          <w:sz w:val="21"/>
        </w:rPr>
        <w:t>（以下简称</w:t>
      </w:r>
      <w:r>
        <w:rPr>
          <w:sz w:val="21"/>
        </w:rPr>
        <w:t>“甲方”）</w:t>
      </w:r>
    </w:p>
    <w:p>
      <w:pPr>
        <w:pStyle w:val="null3"/>
        <w:ind w:left="180" w:right="180" w:firstLine="420"/>
        <w:jc w:val="left"/>
      </w:pPr>
      <w:r>
        <w:rPr>
          <w:sz w:val="21"/>
        </w:rPr>
        <w:t>乙</w:t>
      </w:r>
      <w:r>
        <w:rPr>
          <w:sz w:val="21"/>
        </w:rPr>
        <w:t xml:space="preserve">  </w:t>
      </w:r>
      <w:r>
        <w:rPr>
          <w:sz w:val="21"/>
        </w:rPr>
        <w:t>方：（以下简称</w:t>
      </w:r>
      <w:r>
        <w:rPr>
          <w:sz w:val="21"/>
        </w:rPr>
        <w:t>“乙方”）</w:t>
      </w:r>
      <w:r>
        <w:br/>
      </w:r>
    </w:p>
    <w:p>
      <w:pPr>
        <w:pStyle w:val="null3"/>
        <w:ind w:left="180" w:right="180" w:firstLine="420"/>
        <w:jc w:val="left"/>
      </w:pPr>
      <w:r>
        <w:rPr>
          <w:sz w:val="21"/>
        </w:rPr>
        <w:t>根据项目招标结果，按照《中华人民共和国政府采购法》《中华人民共和国民法典》的规定，经双方协商，本着平等互利和诚实信用的原则，一致同意签订本合同如下。</w:t>
      </w:r>
    </w:p>
    <w:p>
      <w:pPr>
        <w:pStyle w:val="null3"/>
        <w:ind w:left="180" w:right="180" w:firstLine="422"/>
        <w:jc w:val="left"/>
      </w:pPr>
      <w:r>
        <w:rPr>
          <w:sz w:val="21"/>
          <w:b/>
        </w:rPr>
        <w:t>一、合同标的</w:t>
      </w:r>
    </w:p>
    <w:p>
      <w:pPr>
        <w:pStyle w:val="null3"/>
        <w:ind w:firstLine="420"/>
        <w:jc w:val="left"/>
      </w:pPr>
      <w:r>
        <w:rPr>
          <w:sz w:val="21"/>
        </w:rPr>
        <w:t>包括</w:t>
      </w:r>
      <w:r>
        <w:rPr>
          <w:sz w:val="21"/>
          <w:u w:val="single"/>
        </w:rPr>
        <w:t>古镇公安分局</w:t>
      </w:r>
      <w:r>
        <w:rPr>
          <w:sz w:val="21"/>
          <w:u w:val="single"/>
        </w:rPr>
        <w:t>2024-2027</w:t>
      </w:r>
      <w:r>
        <w:rPr>
          <w:sz w:val="21"/>
          <w:u w:val="single"/>
        </w:rPr>
        <w:t>年度政务信息化项目（警务通项目）</w:t>
      </w:r>
      <w:r>
        <w:rPr>
          <w:sz w:val="21"/>
        </w:rPr>
        <w:t>中列明的服务需求，以及本项目招投标文件所列关于该采购包的所有内容。</w:t>
      </w:r>
    </w:p>
    <w:p>
      <w:pPr>
        <w:pStyle w:val="null3"/>
        <w:ind w:firstLine="422"/>
        <w:jc w:val="left"/>
      </w:pPr>
      <w:r>
        <w:rPr>
          <w:sz w:val="21"/>
          <w:b/>
        </w:rPr>
        <w:t>二、合同金额</w:t>
      </w:r>
    </w:p>
    <w:p>
      <w:pPr>
        <w:pStyle w:val="null3"/>
        <w:ind w:firstLine="420"/>
        <w:jc w:val="left"/>
      </w:pPr>
      <w:r>
        <w:rPr>
          <w:sz w:val="21"/>
        </w:rPr>
        <w:t>1.</w:t>
      </w:r>
      <w:r>
        <w:rPr>
          <w:sz w:val="21"/>
        </w:rPr>
        <w:t>合同总价（含税价）为人民币大写：</w:t>
      </w:r>
      <w:r>
        <w:rPr>
          <w:sz w:val="21"/>
          <w:u w:val="single"/>
        </w:rPr>
        <w:t xml:space="preserve">          </w:t>
      </w:r>
      <w:r>
        <w:rPr>
          <w:sz w:val="21"/>
          <w:u w:val="single"/>
        </w:rPr>
        <w:t>元整</w:t>
      </w:r>
      <w:r>
        <w:rPr>
          <w:sz w:val="21"/>
        </w:rPr>
        <w:t>（</w:t>
      </w:r>
      <w:r>
        <w:rPr>
          <w:sz w:val="21"/>
          <w:u w:val="single"/>
        </w:rPr>
        <w:t xml:space="preserve">¥            </w:t>
      </w:r>
      <w:r>
        <w:rPr>
          <w:sz w:val="21"/>
        </w:rPr>
        <w:t>元）。</w:t>
      </w:r>
    </w:p>
    <w:p>
      <w:pPr>
        <w:pStyle w:val="null3"/>
        <w:ind w:firstLine="420"/>
        <w:jc w:val="left"/>
      </w:pPr>
      <w:r>
        <w:rPr>
          <w:sz w:val="21"/>
        </w:rPr>
        <w:t>2.</w:t>
      </w:r>
      <w:r>
        <w:rPr>
          <w:sz w:val="21"/>
        </w:rPr>
        <w:t>合同总价是乙方在运维服务期间内履行本项目所有义务后，甲方根据合同约定支付相关费用，不再另行支付合同约定以外的任何费用。</w:t>
      </w:r>
    </w:p>
    <w:p>
      <w:pPr>
        <w:pStyle w:val="null3"/>
        <w:ind w:firstLine="422"/>
        <w:jc w:val="left"/>
      </w:pPr>
      <w:r>
        <w:rPr>
          <w:sz w:val="21"/>
          <w:b/>
        </w:rPr>
        <w:t>三、服务内容及周期</w:t>
      </w:r>
    </w:p>
    <w:tbl>
      <w:tblPr>
        <w:tblW w:w="0" w:type="auto"/>
        <w:tblBorders>
          <w:top w:val="none" w:color="000000" w:sz="4"/>
          <w:left w:val="none" w:color="000000" w:sz="4"/>
          <w:bottom w:val="none" w:color="000000" w:sz="4"/>
          <w:right w:val="none" w:color="000000" w:sz="4"/>
          <w:insideH w:val="none"/>
          <w:insideV w:val="none"/>
        </w:tblBorders>
      </w:tblPr>
      <w:tblGrid>
        <w:gridCol w:w="834"/>
        <w:gridCol w:w="5835"/>
        <w:gridCol w:w="1637"/>
      </w:tblGrid>
      <w:tr>
        <w:tc>
          <w:tcPr>
            <w:tcW w:type="dxa" w:w="8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b/>
              </w:rPr>
              <w:t>序号</w:t>
            </w:r>
          </w:p>
        </w:tc>
        <w:tc>
          <w:tcPr>
            <w:tcW w:type="dxa" w:w="5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b/>
              </w:rPr>
              <w:t>项目名称</w:t>
            </w:r>
          </w:p>
        </w:tc>
        <w:tc>
          <w:tcPr>
            <w:tcW w:type="dxa" w:w="1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b/>
              </w:rPr>
              <w:t>运维时间</w:t>
            </w:r>
          </w:p>
        </w:tc>
      </w:tr>
      <w:tr>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rPr>
              <w:t>1</w:t>
            </w:r>
          </w:p>
        </w:tc>
        <w:tc>
          <w:tcPr>
            <w:tcW w:type="dxa" w:w="5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rPr>
              <w:t>古镇公安分局</w:t>
            </w:r>
            <w:r>
              <w:rPr>
                <w:sz w:val="21"/>
              </w:rPr>
              <w:t>2024-2027</w:t>
            </w:r>
            <w:r>
              <w:rPr>
                <w:sz w:val="21"/>
              </w:rPr>
              <w:t>年度政务信息化项目（警务通项目）</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rPr>
              <w:t>36</w:t>
            </w:r>
            <w:r>
              <w:rPr>
                <w:sz w:val="21"/>
              </w:rPr>
              <w:t>个月</w:t>
            </w:r>
          </w:p>
        </w:tc>
      </w:tr>
    </w:tbl>
    <w:p>
      <w:pPr>
        <w:pStyle w:val="null3"/>
        <w:ind w:right="180" w:firstLine="422"/>
        <w:jc w:val="left"/>
      </w:pPr>
      <w:r>
        <w:rPr>
          <w:sz w:val="21"/>
          <w:b/>
        </w:rPr>
        <w:t>具体的服务内容见本项目招投标文件运维服务要求。</w:t>
      </w:r>
    </w:p>
    <w:p>
      <w:pPr>
        <w:pStyle w:val="null3"/>
        <w:ind w:right="180" w:firstLine="422"/>
        <w:jc w:val="left"/>
      </w:pPr>
      <w:r>
        <w:rPr>
          <w:sz w:val="21"/>
          <w:b/>
        </w:rPr>
        <w:t>四、运维服务要求</w:t>
      </w:r>
    </w:p>
    <w:p>
      <w:pPr>
        <w:pStyle w:val="null3"/>
        <w:ind w:right="180" w:firstLine="422"/>
        <w:jc w:val="left"/>
      </w:pPr>
      <w:r>
        <w:rPr>
          <w:sz w:val="21"/>
          <w:b/>
        </w:rPr>
        <w:t>1.</w:t>
      </w:r>
      <w:r>
        <w:rPr>
          <w:sz w:val="21"/>
          <w:b/>
        </w:rPr>
        <w:t>基本服务要求。</w:t>
      </w:r>
    </w:p>
    <w:p>
      <w:pPr>
        <w:pStyle w:val="null3"/>
        <w:ind w:right="180" w:firstLine="420"/>
        <w:jc w:val="left"/>
      </w:pPr>
      <w:r>
        <w:rPr>
          <w:sz w:val="21"/>
        </w:rPr>
        <w:t>（</w:t>
      </w:r>
      <w:r>
        <w:rPr>
          <w:sz w:val="21"/>
        </w:rPr>
        <w:t>1</w:t>
      </w:r>
      <w:r>
        <w:rPr>
          <w:sz w:val="21"/>
        </w:rPr>
        <w:t>）驻场服务。乙方按招标文件要求提供驻场服务，按质按量按时提供日常巡检、疑难解答、故障定位、故障排除、功能调整、升级优化等服务。</w:t>
      </w:r>
    </w:p>
    <w:p>
      <w:pPr>
        <w:pStyle w:val="null3"/>
        <w:ind w:right="180" w:firstLine="420"/>
        <w:jc w:val="left"/>
      </w:pPr>
      <w:r>
        <w:rPr>
          <w:sz w:val="21"/>
        </w:rPr>
        <w:t>（</w:t>
      </w:r>
      <w:r>
        <w:rPr>
          <w:sz w:val="21"/>
        </w:rPr>
        <w:t>2</w:t>
      </w:r>
      <w:r>
        <w:rPr>
          <w:sz w:val="21"/>
        </w:rPr>
        <w:t>）技术服务。服务期内，乙方为用户单位提供</w:t>
      </w:r>
      <w:r>
        <w:rPr>
          <w:sz w:val="21"/>
        </w:rPr>
        <w:t>7</w:t>
      </w:r>
      <w:r>
        <w:rPr>
          <w:sz w:val="21"/>
        </w:rPr>
        <w:t>×</w:t>
      </w:r>
      <w:r>
        <w:rPr>
          <w:sz w:val="21"/>
        </w:rPr>
        <w:t>24</w:t>
      </w:r>
      <w:r>
        <w:rPr>
          <w:sz w:val="21"/>
        </w:rPr>
        <w:t>小时实时技术服务，协助用户单位进行故障定位和故障排除。</w:t>
      </w:r>
    </w:p>
    <w:p>
      <w:pPr>
        <w:pStyle w:val="null3"/>
        <w:ind w:right="180" w:firstLine="420"/>
        <w:jc w:val="left"/>
      </w:pPr>
      <w:r>
        <w:rPr>
          <w:sz w:val="21"/>
        </w:rPr>
        <w:t>（</w:t>
      </w:r>
      <w:r>
        <w:rPr>
          <w:sz w:val="21"/>
        </w:rPr>
        <w:t>3</w:t>
      </w:r>
      <w:r>
        <w:rPr>
          <w:sz w:val="21"/>
        </w:rPr>
        <w:t>）紧急现场服务。每天（含重要节假日）</w:t>
      </w:r>
      <w:r>
        <w:rPr>
          <w:sz w:val="21"/>
        </w:rPr>
        <w:t>24</w:t>
      </w:r>
      <w:r>
        <w:rPr>
          <w:sz w:val="21"/>
        </w:rPr>
        <w:t>小时，乙方接到甲方的紧急维护需求后，须指派具备相应能力的技术工程师在约定时间内快速到达故障现场，处理出现的重大故障或重大事件。</w:t>
      </w:r>
    </w:p>
    <w:p>
      <w:pPr>
        <w:pStyle w:val="null3"/>
        <w:ind w:right="180" w:firstLine="420"/>
        <w:jc w:val="left"/>
      </w:pPr>
      <w:r>
        <w:rPr>
          <w:sz w:val="21"/>
        </w:rPr>
        <w:t>（</w:t>
      </w:r>
      <w:r>
        <w:rPr>
          <w:sz w:val="21"/>
        </w:rPr>
        <w:t>4</w:t>
      </w:r>
      <w:r>
        <w:rPr>
          <w:sz w:val="21"/>
        </w:rPr>
        <w:t>）故障处理服务。甲方系统出现不稳定的情况，乙方提供</w:t>
      </w:r>
      <w:r>
        <w:rPr>
          <w:sz w:val="21"/>
        </w:rPr>
        <w:t>7</w:t>
      </w:r>
      <w:r>
        <w:rPr>
          <w:sz w:val="21"/>
        </w:rPr>
        <w:t>×</w:t>
      </w:r>
      <w:r>
        <w:rPr>
          <w:sz w:val="21"/>
        </w:rPr>
        <w:t>24</w:t>
      </w:r>
      <w:r>
        <w:rPr>
          <w:sz w:val="21"/>
        </w:rPr>
        <w:t>小时故障处理服务，并在规定时间内进行故障排除，避免或减少由于系统故障导致的损失。</w:t>
      </w:r>
    </w:p>
    <w:p>
      <w:pPr>
        <w:pStyle w:val="null3"/>
        <w:ind w:right="180" w:firstLine="420"/>
        <w:jc w:val="left"/>
      </w:pPr>
      <w:r>
        <w:rPr>
          <w:sz w:val="21"/>
        </w:rPr>
        <w:t>（</w:t>
      </w:r>
      <w:r>
        <w:rPr>
          <w:sz w:val="21"/>
        </w:rPr>
        <w:t>5</w:t>
      </w:r>
      <w:r>
        <w:rPr>
          <w:sz w:val="21"/>
        </w:rPr>
        <w:t>）值守服务。重要节假日、活动（重大会议、重大活动、敏感时间段）期间，若甲方提出项目</w:t>
      </w:r>
      <w:r>
        <w:rPr>
          <w:sz w:val="21"/>
        </w:rPr>
        <w:t>24</w:t>
      </w:r>
      <w:r>
        <w:rPr>
          <w:sz w:val="21"/>
        </w:rPr>
        <w:t>小时值守需求，乙方需按甲方需求安排人员值守。</w:t>
      </w:r>
    </w:p>
    <w:p>
      <w:pPr>
        <w:pStyle w:val="null3"/>
        <w:ind w:right="180" w:firstLine="422"/>
        <w:jc w:val="left"/>
      </w:pPr>
      <w:r>
        <w:rPr>
          <w:sz w:val="21"/>
          <w:b/>
        </w:rPr>
        <w:t>2.</w:t>
      </w:r>
      <w:r>
        <w:rPr>
          <w:sz w:val="21"/>
          <w:b/>
        </w:rPr>
        <w:t>人员要求。</w:t>
      </w:r>
    </w:p>
    <w:p>
      <w:pPr>
        <w:pStyle w:val="null3"/>
        <w:ind w:firstLine="420"/>
        <w:jc w:val="left"/>
      </w:pPr>
      <w:r>
        <w:rPr>
          <w:sz w:val="21"/>
        </w:rPr>
        <w:t>（</w:t>
      </w:r>
      <w:r>
        <w:rPr>
          <w:sz w:val="21"/>
        </w:rPr>
        <w:t>1</w:t>
      </w:r>
      <w:r>
        <w:rPr>
          <w:sz w:val="21"/>
        </w:rPr>
        <w:t>）项目经理。本项目乙方须设项目经理</w:t>
      </w:r>
      <w:r>
        <w:rPr>
          <w:u w:val="single"/>
        </w:rPr>
        <w:t xml:space="preserve">   </w:t>
      </w:r>
      <w:r>
        <w:rPr>
          <w:sz w:val="21"/>
        </w:rPr>
        <w:t>人，提供每周</w:t>
      </w:r>
      <w:r>
        <w:rPr>
          <w:sz w:val="21"/>
        </w:rPr>
        <w:t>8*5</w:t>
      </w:r>
      <w:r>
        <w:rPr>
          <w:sz w:val="21"/>
        </w:rPr>
        <w:t>小时驻点服务，全面负责运维服务人员组织、安全、质量、工期以及生活后勤等全方位的组织管理，并负责做好各方面的协调工作，全权处理运行维护中的有关事项；负责整个项目进度和整体质量管理；时刻关注甲方需求，并随时根据需求做出工作调整。</w:t>
      </w:r>
    </w:p>
    <w:p>
      <w:pPr>
        <w:pStyle w:val="null3"/>
        <w:ind w:firstLine="420"/>
        <w:jc w:val="left"/>
      </w:pPr>
      <w:r>
        <w:rPr>
          <w:sz w:val="21"/>
        </w:rPr>
        <w:t>（</w:t>
      </w:r>
      <w:r>
        <w:rPr>
          <w:sz w:val="21"/>
        </w:rPr>
        <w:t>2</w:t>
      </w:r>
      <w:r>
        <w:rPr>
          <w:sz w:val="21"/>
        </w:rPr>
        <w:t>）技术支撑运维团队人员。乙方须组建不少于</w:t>
      </w:r>
      <w:r>
        <w:rPr>
          <w:u w:val="single"/>
        </w:rPr>
        <w:t xml:space="preserve">   </w:t>
      </w:r>
      <w:r>
        <w:rPr>
          <w:sz w:val="21"/>
        </w:rPr>
        <w:t>人的技术支撑运维团队，负责统筹安排巡检计划，输出数据统计、故障分析、工作报告和总结等；负责故障抢修，在最短时间内排除故障，恢复系统、设备运行，采取相应措施降低故障再次发生率；负责对工作中出现的各类疑难问题和重大故障进行技术支撑，以及制定相关技术规范和维护流程，指导和监督各维护人员对规范流程的掌握和理解。</w:t>
      </w:r>
    </w:p>
    <w:p>
      <w:pPr>
        <w:pStyle w:val="null3"/>
        <w:ind w:right="180" w:firstLine="422"/>
        <w:jc w:val="left"/>
      </w:pPr>
      <w:r>
        <w:rPr>
          <w:sz w:val="21"/>
          <w:b/>
        </w:rPr>
        <w:t>3.</w:t>
      </w:r>
      <w:r>
        <w:rPr>
          <w:sz w:val="21"/>
          <w:b/>
        </w:rPr>
        <w:t>应急响应要求。</w:t>
      </w:r>
    </w:p>
    <w:p>
      <w:pPr>
        <w:pStyle w:val="null3"/>
        <w:ind w:right="180" w:firstLine="420"/>
        <w:jc w:val="left"/>
      </w:pPr>
      <w:r>
        <w:rPr>
          <w:sz w:val="21"/>
        </w:rPr>
        <w:t>响应时间是指自乙方收到甲方的报修通知开始，至乙方派技术人员到达维护现场所经历的时间。乙方必须严格按照招标文件要求响应到位，及时安排技术人员、设备做好现场维护工作。</w:t>
      </w:r>
    </w:p>
    <w:p>
      <w:pPr>
        <w:pStyle w:val="null3"/>
        <w:ind w:right="180" w:firstLine="422"/>
        <w:jc w:val="left"/>
      </w:pPr>
      <w:r>
        <w:rPr>
          <w:sz w:val="21"/>
          <w:b/>
        </w:rPr>
        <w:t>4.</w:t>
      </w:r>
      <w:r>
        <w:rPr>
          <w:sz w:val="21"/>
          <w:b/>
        </w:rPr>
        <w:t>工作交接要求。</w:t>
      </w:r>
    </w:p>
    <w:p>
      <w:pPr>
        <w:pStyle w:val="null3"/>
        <w:ind w:left="180" w:right="180" w:firstLine="420"/>
        <w:jc w:val="left"/>
      </w:pPr>
      <w:r>
        <w:rPr>
          <w:sz w:val="21"/>
        </w:rPr>
        <w:t>乙方签订合同后应组织运维团队验收工作移交清单、完成工作移交，承接项目运维服务。乙方从项目运维期满之日起，在新的运维团队到位前免费继续提供</w:t>
      </w:r>
      <w:r>
        <w:rPr>
          <w:sz w:val="21"/>
        </w:rPr>
        <w:t>1</w:t>
      </w:r>
      <w:r>
        <w:rPr>
          <w:sz w:val="21"/>
        </w:rPr>
        <w:t>个月内的运维过渡支持服务，若乙方未中标下一期运维服务项目，则必须在下一期运维供应商入场前提交运维服务工作移交清单并在</w:t>
      </w:r>
      <w:r>
        <w:rPr>
          <w:sz w:val="21"/>
        </w:rPr>
        <w:t>2</w:t>
      </w:r>
      <w:r>
        <w:rPr>
          <w:sz w:val="21"/>
        </w:rPr>
        <w:t>个月内配合完成工作移交。</w:t>
      </w:r>
    </w:p>
    <w:p>
      <w:pPr>
        <w:pStyle w:val="null3"/>
        <w:ind w:right="180" w:firstLine="422"/>
        <w:jc w:val="left"/>
      </w:pPr>
      <w:r>
        <w:rPr>
          <w:sz w:val="21"/>
          <w:b/>
        </w:rPr>
        <w:t>5.</w:t>
      </w:r>
      <w:r>
        <w:rPr>
          <w:sz w:val="21"/>
          <w:b/>
        </w:rPr>
        <w:t>运维文档要求。</w:t>
      </w:r>
    </w:p>
    <w:p>
      <w:pPr>
        <w:pStyle w:val="null3"/>
        <w:ind w:right="180" w:firstLine="420"/>
        <w:jc w:val="left"/>
      </w:pPr>
      <w:r>
        <w:rPr>
          <w:sz w:val="21"/>
        </w:rPr>
        <w:t>乙方必须按要求提交运维工作文档：</w:t>
      </w:r>
    </w:p>
    <w:p>
      <w:pPr>
        <w:pStyle w:val="null3"/>
        <w:ind w:right="180" w:firstLine="420"/>
        <w:jc w:val="left"/>
      </w:pPr>
      <w:r>
        <w:rPr>
          <w:sz w:val="21"/>
        </w:rPr>
        <w:t>（</w:t>
      </w:r>
      <w:r>
        <w:rPr>
          <w:sz w:val="21"/>
        </w:rPr>
        <w:t>1</w:t>
      </w:r>
      <w:r>
        <w:rPr>
          <w:sz w:val="21"/>
        </w:rPr>
        <w:t>）项目阶段性文档，包括季度总结报告、项目总结报告等。</w:t>
      </w:r>
    </w:p>
    <w:p>
      <w:pPr>
        <w:pStyle w:val="null3"/>
        <w:ind w:right="180" w:firstLine="420"/>
        <w:jc w:val="left"/>
      </w:pPr>
      <w:r>
        <w:rPr>
          <w:sz w:val="21"/>
        </w:rPr>
        <w:t>（</w:t>
      </w:r>
      <w:r>
        <w:rPr>
          <w:sz w:val="21"/>
        </w:rPr>
        <w:t>2</w:t>
      </w:r>
      <w:r>
        <w:rPr>
          <w:sz w:val="21"/>
        </w:rPr>
        <w:t>）运维过程文档，包括工作记录（包括但不限于系统监控记录、故障记录、工单处理、业务开展和支持情况）、周报、月报等。</w:t>
      </w:r>
    </w:p>
    <w:p>
      <w:pPr>
        <w:pStyle w:val="null3"/>
        <w:ind w:right="180" w:firstLine="420"/>
        <w:jc w:val="left"/>
      </w:pPr>
      <w:r>
        <w:rPr>
          <w:sz w:val="21"/>
        </w:rPr>
        <w:t>（</w:t>
      </w:r>
      <w:r>
        <w:rPr>
          <w:sz w:val="21"/>
        </w:rPr>
        <w:t>3</w:t>
      </w:r>
      <w:r>
        <w:rPr>
          <w:sz w:val="21"/>
        </w:rPr>
        <w:t>）故障处理报告。在故障处理后</w:t>
      </w:r>
      <w:r>
        <w:rPr>
          <w:sz w:val="21"/>
        </w:rPr>
        <w:t>1</w:t>
      </w:r>
      <w:r>
        <w:rPr>
          <w:sz w:val="21"/>
        </w:rPr>
        <w:t>个工作日内，向甲方作故障处理报告。在故障处理后</w:t>
      </w:r>
      <w:r>
        <w:rPr>
          <w:sz w:val="21"/>
        </w:rPr>
        <w:t>3</w:t>
      </w:r>
      <w:r>
        <w:rPr>
          <w:sz w:val="21"/>
        </w:rPr>
        <w:t>个工作日内将整体事件处理过程编制成书面报告交付给甲方，协助甲方形成故障紧急预案。</w:t>
      </w:r>
    </w:p>
    <w:p>
      <w:pPr>
        <w:pStyle w:val="null3"/>
        <w:ind w:right="180" w:firstLine="420"/>
        <w:jc w:val="left"/>
      </w:pPr>
      <w:r>
        <w:rPr>
          <w:sz w:val="21"/>
        </w:rPr>
        <w:t>（</w:t>
      </w:r>
      <w:r>
        <w:rPr>
          <w:sz w:val="21"/>
        </w:rPr>
        <w:t>4</w:t>
      </w:r>
      <w:r>
        <w:rPr>
          <w:sz w:val="21"/>
        </w:rPr>
        <w:t>）专项工作报告，包括但不限于巡检报告、专项业务工作报告、安全整改报告、系统平台迁移部署方案和测试报告等。</w:t>
      </w:r>
    </w:p>
    <w:p>
      <w:pPr>
        <w:pStyle w:val="null3"/>
        <w:ind w:right="180" w:firstLine="420"/>
        <w:jc w:val="left"/>
      </w:pPr>
      <w:r>
        <w:rPr>
          <w:sz w:val="21"/>
        </w:rPr>
        <w:t>（</w:t>
      </w:r>
      <w:r>
        <w:rPr>
          <w:sz w:val="21"/>
        </w:rPr>
        <w:t>5</w:t>
      </w:r>
      <w:r>
        <w:rPr>
          <w:sz w:val="21"/>
        </w:rPr>
        <w:t>）其他文档。运维服务过程中需要和产生的其他各类文档。</w:t>
      </w:r>
    </w:p>
    <w:p>
      <w:pPr>
        <w:pStyle w:val="null3"/>
        <w:ind w:right="180" w:firstLine="422"/>
        <w:jc w:val="left"/>
      </w:pPr>
      <w:r>
        <w:rPr>
          <w:sz w:val="21"/>
          <w:b/>
        </w:rPr>
        <w:t>五、验收要求</w:t>
      </w:r>
    </w:p>
    <w:p>
      <w:pPr>
        <w:pStyle w:val="null3"/>
        <w:ind w:right="180" w:firstLine="422"/>
        <w:jc w:val="left"/>
      </w:pPr>
      <w:r>
        <w:rPr>
          <w:sz w:val="21"/>
          <w:b/>
        </w:rPr>
        <w:t>1.</w:t>
      </w:r>
      <w:r>
        <w:rPr>
          <w:sz w:val="21"/>
          <w:b/>
        </w:rPr>
        <w:t>验收计划。</w:t>
      </w:r>
    </w:p>
    <w:p>
      <w:pPr>
        <w:pStyle w:val="null3"/>
        <w:ind w:right="180" w:firstLine="420"/>
        <w:jc w:val="left"/>
      </w:pPr>
      <w:r>
        <w:rPr>
          <w:sz w:val="21"/>
        </w:rPr>
        <w:t>（</w:t>
      </w:r>
      <w:r>
        <w:rPr>
          <w:sz w:val="21"/>
        </w:rPr>
        <w:t>1</w:t>
      </w:r>
      <w:r>
        <w:rPr>
          <w:sz w:val="21"/>
        </w:rPr>
        <w:t>）内部验收：乙方提供服务完毕之日起</w:t>
      </w:r>
      <w:r>
        <w:rPr>
          <w:sz w:val="21"/>
        </w:rPr>
        <w:t>30</w:t>
      </w:r>
      <w:r>
        <w:rPr>
          <w:sz w:val="21"/>
        </w:rPr>
        <w:t>天内，乙方根据本合同、招投标文件要求，检查运维服务情况后，提交完整项目验收文档并向甲方提出内部验收申请，由甲方、乙方、监理单位三方进行验收。</w:t>
      </w:r>
    </w:p>
    <w:p>
      <w:pPr>
        <w:pStyle w:val="null3"/>
        <w:ind w:right="180" w:firstLine="420"/>
        <w:jc w:val="left"/>
      </w:pPr>
      <w:r>
        <w:rPr>
          <w:sz w:val="21"/>
        </w:rPr>
        <w:t>（</w:t>
      </w:r>
      <w:r>
        <w:rPr>
          <w:sz w:val="21"/>
        </w:rPr>
        <w:t>2</w:t>
      </w:r>
      <w:r>
        <w:rPr>
          <w:sz w:val="21"/>
        </w:rPr>
        <w:t>）综合验收：内部验收合格之日起</w:t>
      </w:r>
      <w:r>
        <w:rPr>
          <w:sz w:val="21"/>
        </w:rPr>
        <w:t>30</w:t>
      </w:r>
      <w:r>
        <w:rPr>
          <w:sz w:val="21"/>
        </w:rPr>
        <w:t>天内，甲方向中山市政务服务和数据管理局提出项目验收申请，由中山市政务服务和数据管理局组织开展综合验收。乙方须全力配合开展验收，提供验收相关材料。</w:t>
      </w:r>
    </w:p>
    <w:p>
      <w:pPr>
        <w:pStyle w:val="null3"/>
        <w:ind w:right="180" w:firstLine="422"/>
        <w:jc w:val="left"/>
      </w:pPr>
      <w:r>
        <w:rPr>
          <w:sz w:val="21"/>
          <w:b/>
        </w:rPr>
        <w:t>2.</w:t>
      </w:r>
      <w:r>
        <w:rPr>
          <w:sz w:val="21"/>
          <w:b/>
        </w:rPr>
        <w:t>验收方法。</w:t>
      </w:r>
    </w:p>
    <w:p>
      <w:pPr>
        <w:pStyle w:val="null3"/>
        <w:ind w:right="180" w:firstLine="420"/>
        <w:jc w:val="left"/>
      </w:pPr>
      <w:r>
        <w:rPr>
          <w:sz w:val="21"/>
        </w:rPr>
        <w:t>根据乙方提供的运维服务，检验是否与合同规定的一致。</w:t>
      </w:r>
    </w:p>
    <w:p>
      <w:pPr>
        <w:pStyle w:val="null3"/>
        <w:ind w:right="180" w:firstLine="422"/>
        <w:jc w:val="left"/>
      </w:pPr>
      <w:r>
        <w:rPr>
          <w:sz w:val="21"/>
          <w:b/>
        </w:rPr>
        <w:t>3.</w:t>
      </w:r>
      <w:r>
        <w:rPr>
          <w:sz w:val="21"/>
          <w:b/>
        </w:rPr>
        <w:t>验收结论。</w:t>
      </w:r>
    </w:p>
    <w:p>
      <w:pPr>
        <w:pStyle w:val="null3"/>
        <w:ind w:right="180" w:firstLine="420"/>
        <w:jc w:val="left"/>
      </w:pPr>
      <w:r>
        <w:rPr>
          <w:sz w:val="21"/>
        </w:rPr>
        <w:t>验收结果分为：验收合格、验收不合格两种。</w:t>
      </w:r>
    </w:p>
    <w:p>
      <w:pPr>
        <w:pStyle w:val="null3"/>
        <w:ind w:right="180" w:firstLine="422"/>
        <w:jc w:val="left"/>
      </w:pPr>
      <w:r>
        <w:rPr>
          <w:sz w:val="21"/>
          <w:b/>
        </w:rPr>
        <w:t>六、安全管理要求</w:t>
      </w:r>
    </w:p>
    <w:p>
      <w:pPr>
        <w:pStyle w:val="null3"/>
        <w:ind w:right="180" w:firstLine="420"/>
        <w:jc w:val="left"/>
      </w:pPr>
      <w:r>
        <w:rPr>
          <w:sz w:val="21"/>
        </w:rPr>
        <w:t>1.</w:t>
      </w:r>
      <w:r>
        <w:rPr>
          <w:sz w:val="21"/>
        </w:rPr>
        <w:t>乙方是本包组安全生产管理主体，对所承包业务安全生产管理工作负全责。</w:t>
      </w:r>
    </w:p>
    <w:p>
      <w:pPr>
        <w:pStyle w:val="null3"/>
        <w:ind w:right="180" w:firstLine="420"/>
        <w:jc w:val="left"/>
      </w:pPr>
      <w:r>
        <w:rPr>
          <w:sz w:val="21"/>
        </w:rPr>
        <w:t>2.</w:t>
      </w:r>
      <w:r>
        <w:rPr>
          <w:sz w:val="21"/>
        </w:rPr>
        <w:t>乙方负责日常安全生产管理，甲方只负责对乙方进行考核和必要的监督检查。</w:t>
      </w:r>
    </w:p>
    <w:p>
      <w:pPr>
        <w:pStyle w:val="null3"/>
        <w:ind w:right="180" w:firstLine="420"/>
        <w:jc w:val="left"/>
      </w:pPr>
      <w:r>
        <w:rPr>
          <w:sz w:val="21"/>
        </w:rPr>
        <w:t>3.</w:t>
      </w:r>
      <w:r>
        <w:rPr>
          <w:sz w:val="21"/>
        </w:rPr>
        <w:t>按“谁聘用、谁负责”原则，乙方负责从业人员安全教育培训工作。</w:t>
      </w:r>
    </w:p>
    <w:p>
      <w:pPr>
        <w:pStyle w:val="null3"/>
        <w:ind w:right="180" w:firstLine="420"/>
        <w:jc w:val="left"/>
      </w:pPr>
      <w:r>
        <w:rPr>
          <w:sz w:val="21"/>
        </w:rPr>
        <w:t>4.</w:t>
      </w:r>
      <w:r>
        <w:rPr>
          <w:sz w:val="21"/>
        </w:rPr>
        <w:t>劳动保护用品发放由从业人员劳动关系所属单位负责，即由乙方负责采购及发放。</w:t>
      </w:r>
    </w:p>
    <w:p>
      <w:pPr>
        <w:pStyle w:val="null3"/>
        <w:ind w:right="180" w:firstLine="420"/>
        <w:jc w:val="left"/>
      </w:pPr>
      <w:r>
        <w:rPr>
          <w:sz w:val="21"/>
        </w:rPr>
        <w:t>5.</w:t>
      </w:r>
      <w:r>
        <w:rPr>
          <w:sz w:val="21"/>
        </w:rPr>
        <w:t>若本包组服务期间发生的各种工伤、生产安全事故，事故处理及赔偿均由乙方负责，甲方免予承担一切责任。乙方负责贯彻实施好国家及当地安全系统运维服务规定，排除安全隐患，注意运维安全，保证服务人员具备相应的资质要求，佩证上岗。如服务期间出现财产损失或人身损害等安全事故由乙方负责，造成甲方损失，由乙方承担赔偿责任。</w:t>
      </w:r>
    </w:p>
    <w:p>
      <w:pPr>
        <w:pStyle w:val="null3"/>
        <w:ind w:right="180" w:firstLine="420"/>
        <w:jc w:val="left"/>
      </w:pPr>
      <w:r>
        <w:rPr>
          <w:sz w:val="21"/>
        </w:rPr>
        <w:t>6.</w:t>
      </w:r>
      <w:r>
        <w:rPr>
          <w:sz w:val="21"/>
        </w:rPr>
        <w:t>乙方执行甲方关于运维制服、外勤工作服款式、颜色的规定，采购由乙方直接负责。</w:t>
      </w:r>
    </w:p>
    <w:p>
      <w:pPr>
        <w:pStyle w:val="null3"/>
        <w:ind w:right="180" w:firstLine="420"/>
        <w:jc w:val="left"/>
      </w:pPr>
      <w:r>
        <w:rPr>
          <w:sz w:val="21"/>
        </w:rPr>
        <w:t>7.</w:t>
      </w:r>
      <w:r>
        <w:rPr>
          <w:sz w:val="21"/>
        </w:rPr>
        <w:t>本包组所涉及的安全生产费用由乙方负责，甲方的委托运维价格已含从业人员安全教育培训、劳动防护用品费用等。</w:t>
      </w:r>
    </w:p>
    <w:p>
      <w:pPr>
        <w:pStyle w:val="null3"/>
        <w:ind w:right="180" w:firstLine="422"/>
        <w:jc w:val="left"/>
      </w:pPr>
      <w:r>
        <w:rPr>
          <w:sz w:val="21"/>
          <w:b/>
        </w:rPr>
        <w:t>七、工具配备要求</w:t>
      </w:r>
    </w:p>
    <w:p>
      <w:pPr>
        <w:pStyle w:val="null3"/>
        <w:ind w:right="180" w:firstLine="420"/>
        <w:jc w:val="left"/>
      </w:pPr>
      <w:r>
        <w:rPr>
          <w:sz w:val="21"/>
        </w:rPr>
        <w:t>乙方需自备专用运维工具，包括但不限于车辆、台式电脑、笔记本电脑、打印机、办公耗材等。运维人员专用运维电脑须按业主单位要求配备安全机箱，并按业主网络信息安全和业务设备管理的要求进行管理。运维电脑撤场时，需移交连接公安网台式机电脑的硬盘。</w:t>
      </w:r>
    </w:p>
    <w:p>
      <w:pPr>
        <w:pStyle w:val="null3"/>
        <w:ind w:right="180" w:firstLine="422"/>
        <w:jc w:val="left"/>
      </w:pPr>
      <w:r>
        <w:rPr>
          <w:sz w:val="21"/>
          <w:b/>
        </w:rPr>
        <w:t>八、保密要求</w:t>
      </w:r>
    </w:p>
    <w:p>
      <w:pPr>
        <w:pStyle w:val="null3"/>
        <w:ind w:right="180" w:firstLine="420"/>
        <w:jc w:val="left"/>
      </w:pPr>
      <w:r>
        <w:rPr>
          <w:sz w:val="21"/>
        </w:rPr>
        <w:t>1.</w:t>
      </w:r>
      <w:r>
        <w:rPr>
          <w:sz w:val="21"/>
        </w:rPr>
        <w:t>乙方应遵守甲方各项规章制度、工作流程和安全保密规定，接受甲方日常工作管理，做好安全检查与防范工作。</w:t>
      </w:r>
    </w:p>
    <w:p>
      <w:pPr>
        <w:pStyle w:val="null3"/>
        <w:ind w:right="180" w:firstLine="420"/>
        <w:jc w:val="left"/>
      </w:pPr>
      <w:r>
        <w:rPr>
          <w:sz w:val="21"/>
        </w:rPr>
        <w:t>2.</w:t>
      </w:r>
      <w:r>
        <w:rPr>
          <w:sz w:val="21"/>
        </w:rPr>
        <w:t>乙方须和甲方签订合作企业、合作人员安全保密承诺书，接受甲方安全审查，遵守甲方运维场地要求和设备安全要求。</w:t>
      </w:r>
    </w:p>
    <w:p>
      <w:pPr>
        <w:pStyle w:val="null3"/>
        <w:ind w:right="180" w:firstLine="420"/>
        <w:jc w:val="left"/>
      </w:pPr>
      <w:r>
        <w:rPr>
          <w:sz w:val="21"/>
        </w:rPr>
        <w:t>3.</w:t>
      </w:r>
      <w:r>
        <w:rPr>
          <w:sz w:val="21"/>
        </w:rPr>
        <w:t>乙方对甲方所提供的所有资料以及在合同签订、履行过程中所接触到的甲方及其关联公司的商业秘密、技术文件等资料（统称“保密资料”）负有保密义务。</w:t>
      </w:r>
    </w:p>
    <w:p>
      <w:pPr>
        <w:pStyle w:val="null3"/>
        <w:ind w:right="180" w:firstLine="420"/>
        <w:jc w:val="left"/>
      </w:pPr>
      <w:r>
        <w:rPr>
          <w:sz w:val="21"/>
        </w:rPr>
        <w:t>4.</w:t>
      </w:r>
      <w:r>
        <w:rPr>
          <w:sz w:val="21"/>
        </w:rPr>
        <w:t>未经甲方书面同意，乙方不得直接、间接地透露或提供本项目相关资料以及保密资料给任何第三方，或用于本合同约定事项以外的其他用途；不得擅自扩大与合作事项相关信息的知悉范围，要及时清除、收回离职离岗或者不再参与信息化建设或运维人员持有的甲方文档资料、数据等。乙方可仅为合同目的向其内部有知悉保密资料必要的雇员披露保密资料，但同时须指示其雇员遵守本条规定的保密及不披露义务。</w:t>
      </w:r>
    </w:p>
    <w:p>
      <w:pPr>
        <w:pStyle w:val="null3"/>
        <w:ind w:right="180" w:firstLine="420"/>
        <w:jc w:val="left"/>
      </w:pPr>
      <w:r>
        <w:rPr>
          <w:sz w:val="21"/>
        </w:rPr>
        <w:t>5.</w:t>
      </w:r>
      <w:r>
        <w:rPr>
          <w:sz w:val="21"/>
        </w:rPr>
        <w:t>乙方仅可以在履行合同之目的对保密资料进行复制。乙方不得以任何方式（如软硬盘、图纸、照片、光盘等）留存保密资料。乙方应当在完成委托事项或本合同终止、解除时，将保密资料原件全部返还甲方，并销毁所有复制件。乙方应当妥善保管保密资料，并对保密资料发生的被盗、泄露或其他有损保密资料保密性的事件承担全部责任。</w:t>
      </w:r>
    </w:p>
    <w:p>
      <w:pPr>
        <w:pStyle w:val="null3"/>
        <w:ind w:right="180" w:firstLine="420"/>
        <w:jc w:val="left"/>
      </w:pPr>
      <w:r>
        <w:rPr>
          <w:sz w:val="21"/>
        </w:rPr>
        <w:t>6.</w:t>
      </w:r>
      <w:r>
        <w:rPr>
          <w:sz w:val="21"/>
        </w:rPr>
        <w:t>本保密条款自保密资料提供或披露之日起至永久有效。</w:t>
      </w:r>
    </w:p>
    <w:p>
      <w:pPr>
        <w:pStyle w:val="null3"/>
        <w:ind w:right="180" w:firstLine="422"/>
        <w:jc w:val="left"/>
      </w:pPr>
      <w:r>
        <w:rPr>
          <w:sz w:val="21"/>
          <w:b/>
        </w:rPr>
        <w:t>九、考核办法</w:t>
      </w:r>
    </w:p>
    <w:p>
      <w:pPr>
        <w:pStyle w:val="null3"/>
        <w:ind w:right="180" w:firstLine="420"/>
        <w:jc w:val="left"/>
      </w:pPr>
      <w:r>
        <w:rPr>
          <w:sz w:val="21"/>
        </w:rPr>
        <w:t>1.</w:t>
      </w:r>
      <w:r>
        <w:rPr>
          <w:sz w:val="21"/>
        </w:rPr>
        <w:t>服务质量考核要求。</w:t>
      </w:r>
    </w:p>
    <w:p>
      <w:pPr>
        <w:pStyle w:val="null3"/>
        <w:ind w:right="180" w:firstLine="420"/>
        <w:jc w:val="left"/>
      </w:pPr>
      <w:r>
        <w:rPr>
          <w:sz w:val="21"/>
        </w:rPr>
        <w:t>由甲方成立质量考核小组，负责对乙方服务质量进行考核评分。甲方根据《</w:t>
      </w:r>
      <w:r>
        <w:rPr>
          <w:sz w:val="21"/>
        </w:rPr>
        <w:t>中山市公安局古镇分局</w:t>
      </w:r>
      <w:r>
        <w:rPr>
          <w:sz w:val="21"/>
        </w:rPr>
        <w:t>运维服务工作服务考核表》（详见附件</w:t>
      </w:r>
      <w:r>
        <w:rPr>
          <w:sz w:val="21"/>
        </w:rPr>
        <w:t>5</w:t>
      </w:r>
      <w:r>
        <w:rPr>
          <w:sz w:val="21"/>
        </w:rPr>
        <w:t>）每月对乙方服务质量进行评价，每月的运维考核结果累计至下一期支付金额中扣罚。</w:t>
      </w:r>
    </w:p>
    <w:p>
      <w:pPr>
        <w:pStyle w:val="null3"/>
        <w:ind w:right="180" w:firstLine="420"/>
        <w:jc w:val="left"/>
      </w:pPr>
      <w:r>
        <w:rPr>
          <w:sz w:val="21"/>
        </w:rPr>
        <w:t>2.</w:t>
      </w:r>
      <w:r>
        <w:rPr>
          <w:sz w:val="21"/>
        </w:rPr>
        <w:t>项目考核扣罚金计算方式。</w:t>
      </w:r>
    </w:p>
    <w:p>
      <w:pPr>
        <w:pStyle w:val="null3"/>
        <w:ind w:right="180" w:firstLine="420"/>
        <w:jc w:val="left"/>
      </w:pPr>
      <w:r>
        <w:rPr>
          <w:sz w:val="21"/>
        </w:rPr>
        <w:t>项目考核扣罚金计算方式：考核得分与结算挂钩，乙方每月都须接受甲方的考核，甲方以书面的形式告知乙方考核结果，每月考核如有扣罚的则需扣除月均预算（项目预算</w:t>
      </w:r>
      <w:r>
        <w:rPr>
          <w:sz w:val="21"/>
        </w:rPr>
        <w:t>/</w:t>
      </w:r>
      <w:r>
        <w:rPr>
          <w:sz w:val="21"/>
        </w:rPr>
        <w:t>相应运维月数）相应金额。按</w:t>
      </w:r>
      <w:r>
        <w:rPr>
          <w:sz w:val="21"/>
        </w:rPr>
        <w:t>4</w:t>
      </w:r>
      <w:r>
        <w:rPr>
          <w:sz w:val="21"/>
        </w:rPr>
        <w:t>个档次设置扣罚款项，具体如下：</w:t>
      </w:r>
    </w:p>
    <w:p>
      <w:pPr>
        <w:pStyle w:val="null3"/>
        <w:ind w:right="180" w:firstLine="420"/>
        <w:jc w:val="left"/>
      </w:pPr>
      <w:r>
        <w:rPr>
          <w:sz w:val="21"/>
        </w:rPr>
        <w:t>(1)</w:t>
      </w:r>
      <w:r>
        <w:rPr>
          <w:sz w:val="21"/>
        </w:rPr>
        <w:t>得分≥</w:t>
      </w:r>
      <w:r>
        <w:rPr>
          <w:sz w:val="21"/>
        </w:rPr>
        <w:t>90</w:t>
      </w:r>
      <w:r>
        <w:rPr>
          <w:sz w:val="21"/>
        </w:rPr>
        <w:t>分，无需扣罚；</w:t>
      </w:r>
    </w:p>
    <w:p>
      <w:pPr>
        <w:pStyle w:val="null3"/>
        <w:ind w:right="180" w:firstLine="420"/>
        <w:jc w:val="left"/>
      </w:pPr>
      <w:r>
        <w:rPr>
          <w:sz w:val="21"/>
        </w:rPr>
        <w:t>(2)90</w:t>
      </w:r>
      <w:r>
        <w:rPr>
          <w:sz w:val="21"/>
        </w:rPr>
        <w:t>＞得分≥</w:t>
      </w:r>
      <w:r>
        <w:rPr>
          <w:sz w:val="21"/>
        </w:rPr>
        <w:t>80</w:t>
      </w:r>
      <w:r>
        <w:rPr>
          <w:sz w:val="21"/>
        </w:rPr>
        <w:t>，扣罚月均预算的</w:t>
      </w:r>
      <w:r>
        <w:rPr>
          <w:sz w:val="21"/>
        </w:rPr>
        <w:t>10%</w:t>
      </w:r>
      <w:r>
        <w:rPr>
          <w:sz w:val="21"/>
        </w:rPr>
        <w:t>；</w:t>
      </w:r>
    </w:p>
    <w:p>
      <w:pPr>
        <w:pStyle w:val="null3"/>
        <w:ind w:right="180" w:firstLine="420"/>
        <w:jc w:val="left"/>
      </w:pPr>
      <w:r>
        <w:rPr>
          <w:sz w:val="21"/>
        </w:rPr>
        <w:t>(3)80</w:t>
      </w:r>
      <w:r>
        <w:rPr>
          <w:sz w:val="21"/>
        </w:rPr>
        <w:t>＞得分≥</w:t>
      </w:r>
      <w:r>
        <w:rPr>
          <w:sz w:val="21"/>
        </w:rPr>
        <w:t>70</w:t>
      </w:r>
      <w:r>
        <w:rPr>
          <w:sz w:val="21"/>
        </w:rPr>
        <w:t>，扣罚月均预算的</w:t>
      </w:r>
      <w:r>
        <w:rPr>
          <w:sz w:val="21"/>
        </w:rPr>
        <w:t>20%</w:t>
      </w:r>
      <w:r>
        <w:rPr>
          <w:sz w:val="21"/>
        </w:rPr>
        <w:t>；</w:t>
      </w:r>
    </w:p>
    <w:p>
      <w:pPr>
        <w:pStyle w:val="null3"/>
        <w:ind w:right="180" w:firstLine="420"/>
        <w:jc w:val="left"/>
      </w:pPr>
      <w:r>
        <w:rPr>
          <w:sz w:val="21"/>
        </w:rPr>
        <w:t>(4)70</w:t>
      </w:r>
      <w:r>
        <w:rPr>
          <w:sz w:val="21"/>
        </w:rPr>
        <w:t>＞得分，扣罚月均预算的</w:t>
      </w:r>
      <w:r>
        <w:rPr>
          <w:sz w:val="21"/>
        </w:rPr>
        <w:t>40%</w:t>
      </w:r>
      <w:r>
        <w:rPr>
          <w:sz w:val="21"/>
        </w:rPr>
        <w:t>。</w:t>
      </w:r>
    </w:p>
    <w:p>
      <w:pPr>
        <w:pStyle w:val="null3"/>
        <w:ind w:right="180" w:firstLine="420"/>
        <w:jc w:val="left"/>
      </w:pPr>
      <w:r>
        <w:rPr>
          <w:sz w:val="21"/>
        </w:rPr>
        <w:t>3.</w:t>
      </w:r>
      <w:r>
        <w:rPr>
          <w:sz w:val="21"/>
        </w:rPr>
        <w:t>违规红线考核要求。</w:t>
      </w:r>
    </w:p>
    <w:p>
      <w:pPr>
        <w:pStyle w:val="null3"/>
        <w:ind w:right="180" w:firstLine="420"/>
        <w:jc w:val="left"/>
      </w:pPr>
      <w:r>
        <w:rPr>
          <w:sz w:val="21"/>
        </w:rPr>
        <w:t>运维服务过程中，若发生下列表格所述重大安全事件，甲方有权单方面解除合同，乙方应赔偿由此给甲方带来的损失。</w:t>
      </w:r>
    </w:p>
    <w:tbl>
      <w:tblPr>
        <w:tblW w:w="0" w:type="auto"/>
        <w:tblBorders>
          <w:top w:val="none" w:color="000000" w:sz="4"/>
          <w:left w:val="none" w:color="000000" w:sz="4"/>
          <w:bottom w:val="none" w:color="000000" w:sz="4"/>
          <w:right w:val="none" w:color="000000" w:sz="4"/>
          <w:insideH w:val="none"/>
          <w:insideV w:val="none"/>
        </w:tblBorders>
      </w:tblPr>
      <w:tblGrid>
        <w:gridCol w:w="1259"/>
        <w:gridCol w:w="7047"/>
      </w:tblGrid>
      <w:tr>
        <w:tc>
          <w:tcPr>
            <w:tcW w:type="dxa" w:w="1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b/>
              </w:rPr>
              <w:t>考核类型</w:t>
            </w:r>
          </w:p>
        </w:tc>
        <w:tc>
          <w:tcPr>
            <w:tcW w:type="dxa" w:w="70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b/>
              </w:rPr>
              <w:t>考核说明</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rPr>
              <w:t>信息安全</w:t>
            </w:r>
          </w:p>
        </w:tc>
        <w:tc>
          <w:tcPr>
            <w:tcW w:type="dxa" w:w="7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rPr>
              <w:t>由于运维服务团队人员失误造成业务系统出现数据丢失、篡改等情况</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rPr>
              <w:t>网络安全</w:t>
            </w:r>
          </w:p>
        </w:tc>
        <w:tc>
          <w:tcPr>
            <w:tcW w:type="dxa" w:w="7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rPr>
              <w:t>因运维团队自身失误导致发生重大网络事件，视情况扣分，不可抗力因素除外</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rPr>
              <w:t>信息泄露</w:t>
            </w:r>
          </w:p>
        </w:tc>
        <w:tc>
          <w:tcPr>
            <w:tcW w:type="dxa" w:w="7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rPr>
              <w:t>运维服务团队私自将公共数据、个人数据、政务数据等泄露或进行市场销售，造成不良影响的</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rPr>
              <w:t>群众信访</w:t>
            </w:r>
          </w:p>
        </w:tc>
        <w:tc>
          <w:tcPr>
            <w:tcW w:type="dxa" w:w="7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rPr>
              <w:t>由于运维服务不到位，导致出现群众信访事件或聚众扰乱社会事件的</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rPr>
              <w:t>安全生产</w:t>
            </w:r>
          </w:p>
        </w:tc>
        <w:tc>
          <w:tcPr>
            <w:tcW w:type="dxa" w:w="7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sz w:val="21"/>
              </w:rPr>
              <w:t>特种工作人员未持有电工证、高空作安全员证书等专业资质，进行相关作业，造成安全生产事件的</w:t>
            </w:r>
          </w:p>
        </w:tc>
      </w:tr>
    </w:tbl>
    <w:p>
      <w:pPr>
        <w:pStyle w:val="null3"/>
        <w:ind w:right="180" w:firstLine="422"/>
        <w:jc w:val="left"/>
      </w:pPr>
      <w:r>
        <w:rPr>
          <w:sz w:val="21"/>
          <w:b/>
        </w:rPr>
        <w:t>十、付款方式</w:t>
      </w:r>
    </w:p>
    <w:p>
      <w:pPr>
        <w:pStyle w:val="null3"/>
        <w:ind w:right="180" w:firstLine="420"/>
        <w:jc w:val="left"/>
      </w:pPr>
      <w:r>
        <w:rPr>
          <w:sz w:val="21"/>
        </w:rPr>
        <w:t>运维费用分</w:t>
      </w:r>
      <w:r>
        <w:rPr>
          <w:sz w:val="21"/>
        </w:rPr>
        <w:t>36</w:t>
      </w:r>
      <w:r>
        <w:rPr>
          <w:sz w:val="21"/>
        </w:rPr>
        <w:t>个月，按照乙方的考核成绩按月支付。</w:t>
      </w:r>
    </w:p>
    <w:p>
      <w:pPr>
        <w:pStyle w:val="null3"/>
        <w:ind w:right="180" w:firstLine="420"/>
        <w:jc w:val="left"/>
      </w:pPr>
      <w:r>
        <w:rPr>
          <w:sz w:val="21"/>
        </w:rPr>
        <w:t>(</w:t>
      </w:r>
      <w:r>
        <w:rPr>
          <w:sz w:val="21"/>
        </w:rPr>
        <w:t>一</w:t>
      </w:r>
      <w:r>
        <w:rPr>
          <w:sz w:val="21"/>
        </w:rPr>
        <w:t>)</w:t>
      </w:r>
      <w:r>
        <w:rPr>
          <w:sz w:val="21"/>
        </w:rPr>
        <w:t>乙方开具正式发票；</w:t>
      </w:r>
    </w:p>
    <w:p>
      <w:pPr>
        <w:pStyle w:val="null3"/>
        <w:ind w:right="180" w:firstLine="420"/>
        <w:jc w:val="left"/>
      </w:pPr>
      <w:r>
        <w:rPr>
          <w:sz w:val="21"/>
        </w:rPr>
        <w:t>(</w:t>
      </w:r>
      <w:r>
        <w:rPr>
          <w:sz w:val="21"/>
        </w:rPr>
        <w:t>二</w:t>
      </w:r>
      <w:r>
        <w:rPr>
          <w:sz w:val="21"/>
        </w:rPr>
        <w:t>)</w:t>
      </w:r>
      <w:r>
        <w:rPr>
          <w:sz w:val="21"/>
        </w:rPr>
        <w:t>因本项目使用的是财政资金，付款时间为向财政部门提出办理财政支付申请手续的时间（不含政府财政支付部门审核的时间）。</w:t>
      </w:r>
    </w:p>
    <w:p>
      <w:pPr>
        <w:pStyle w:val="null3"/>
        <w:ind w:right="180" w:firstLine="422"/>
        <w:jc w:val="left"/>
      </w:pPr>
      <w:r>
        <w:rPr>
          <w:sz w:val="21"/>
          <w:b/>
        </w:rPr>
        <w:t>十一、权利和义务</w:t>
      </w:r>
    </w:p>
    <w:p>
      <w:pPr>
        <w:pStyle w:val="null3"/>
        <w:ind w:right="180" w:firstLine="422"/>
        <w:jc w:val="left"/>
      </w:pPr>
      <w:r>
        <w:rPr>
          <w:sz w:val="21"/>
          <w:b/>
        </w:rPr>
        <w:t>1.</w:t>
      </w:r>
      <w:r>
        <w:rPr>
          <w:sz w:val="21"/>
          <w:b/>
        </w:rPr>
        <w:t>甲方的权利和义务</w:t>
      </w:r>
    </w:p>
    <w:p>
      <w:pPr>
        <w:pStyle w:val="null3"/>
        <w:ind w:right="180" w:firstLine="420"/>
        <w:jc w:val="left"/>
      </w:pPr>
      <w:r>
        <w:rPr>
          <w:sz w:val="21"/>
        </w:rPr>
        <w:t>（</w:t>
      </w:r>
      <w:r>
        <w:rPr>
          <w:sz w:val="21"/>
        </w:rPr>
        <w:t>1</w:t>
      </w:r>
      <w:r>
        <w:rPr>
          <w:sz w:val="21"/>
        </w:rPr>
        <w:t>）甲方有权要求乙方提供本项目在合同约束期内的技术资料。</w:t>
      </w:r>
    </w:p>
    <w:p>
      <w:pPr>
        <w:pStyle w:val="null3"/>
        <w:ind w:right="180" w:firstLine="420"/>
        <w:jc w:val="left"/>
      </w:pPr>
      <w:r>
        <w:rPr>
          <w:sz w:val="21"/>
        </w:rPr>
        <w:t>（</w:t>
      </w:r>
      <w:r>
        <w:rPr>
          <w:sz w:val="21"/>
        </w:rPr>
        <w:t>2</w:t>
      </w:r>
      <w:r>
        <w:rPr>
          <w:sz w:val="21"/>
        </w:rPr>
        <w:t>）乙方因履行本项目产生的全部知识产权成果，甲方享有完全的知识产权。</w:t>
      </w:r>
    </w:p>
    <w:p>
      <w:pPr>
        <w:pStyle w:val="null3"/>
        <w:ind w:right="180" w:firstLine="420"/>
        <w:jc w:val="left"/>
      </w:pPr>
      <w:r>
        <w:rPr>
          <w:sz w:val="21"/>
        </w:rPr>
        <w:t>（</w:t>
      </w:r>
      <w:r>
        <w:rPr>
          <w:sz w:val="21"/>
        </w:rPr>
        <w:t>3</w:t>
      </w:r>
      <w:r>
        <w:rPr>
          <w:sz w:val="21"/>
        </w:rPr>
        <w:t>）乙方在本项目工作中有违法违规行为的，甲方有权单方面解除合同，并追究乙方的相应责任。</w:t>
      </w:r>
    </w:p>
    <w:p>
      <w:pPr>
        <w:pStyle w:val="null3"/>
        <w:ind w:right="180" w:firstLine="420"/>
        <w:jc w:val="left"/>
      </w:pPr>
      <w:r>
        <w:rPr>
          <w:sz w:val="21"/>
        </w:rPr>
        <w:t>（</w:t>
      </w:r>
      <w:r>
        <w:rPr>
          <w:sz w:val="21"/>
        </w:rPr>
        <w:t>4</w:t>
      </w:r>
      <w:r>
        <w:rPr>
          <w:sz w:val="21"/>
        </w:rPr>
        <w:t>）甲方应按照合同约定的期限和方式支付合同款项。</w:t>
      </w:r>
    </w:p>
    <w:p>
      <w:pPr>
        <w:pStyle w:val="null3"/>
        <w:ind w:right="180" w:firstLine="420"/>
        <w:jc w:val="left"/>
      </w:pPr>
      <w:r>
        <w:rPr>
          <w:sz w:val="21"/>
        </w:rPr>
        <w:t>（</w:t>
      </w:r>
      <w:r>
        <w:rPr>
          <w:sz w:val="21"/>
        </w:rPr>
        <w:t>5</w:t>
      </w:r>
      <w:r>
        <w:rPr>
          <w:sz w:val="21"/>
        </w:rPr>
        <w:t>）甲方应积极协调相关机构、人员、物业等各方配合乙方开展合同范围内维护服务工作。</w:t>
      </w:r>
    </w:p>
    <w:p>
      <w:pPr>
        <w:pStyle w:val="null3"/>
        <w:ind w:right="180" w:firstLine="422"/>
        <w:jc w:val="left"/>
      </w:pPr>
      <w:r>
        <w:rPr>
          <w:sz w:val="21"/>
          <w:b/>
        </w:rPr>
        <w:t>2.</w:t>
      </w:r>
      <w:r>
        <w:rPr>
          <w:sz w:val="21"/>
          <w:b/>
        </w:rPr>
        <w:t>乙方的权利和义务</w:t>
      </w:r>
    </w:p>
    <w:p>
      <w:pPr>
        <w:pStyle w:val="null3"/>
        <w:ind w:right="180" w:firstLine="420"/>
        <w:jc w:val="left"/>
      </w:pPr>
      <w:r>
        <w:rPr>
          <w:sz w:val="21"/>
        </w:rPr>
        <w:t>（</w:t>
      </w:r>
      <w:r>
        <w:rPr>
          <w:sz w:val="21"/>
        </w:rPr>
        <w:t>1</w:t>
      </w:r>
      <w:r>
        <w:rPr>
          <w:sz w:val="21"/>
        </w:rPr>
        <w:t>）乙方有权要求甲方按合同约定按时支付合同款项。</w:t>
      </w:r>
    </w:p>
    <w:p>
      <w:pPr>
        <w:pStyle w:val="null3"/>
        <w:ind w:right="180" w:firstLine="420"/>
        <w:jc w:val="left"/>
      </w:pPr>
      <w:r>
        <w:rPr>
          <w:sz w:val="21"/>
        </w:rPr>
        <w:t>（</w:t>
      </w:r>
      <w:r>
        <w:rPr>
          <w:sz w:val="21"/>
        </w:rPr>
        <w:t>2</w:t>
      </w:r>
      <w:r>
        <w:rPr>
          <w:sz w:val="21"/>
        </w:rPr>
        <w:t>）乙方应按照合同及附件相关文件的约定、标准，提供相应的服务，如因乙方原因导致运维工作延误或停顿的，由乙方承担责任。</w:t>
      </w:r>
    </w:p>
    <w:p>
      <w:pPr>
        <w:pStyle w:val="null3"/>
        <w:ind w:right="180" w:firstLine="420"/>
        <w:jc w:val="left"/>
      </w:pPr>
      <w:r>
        <w:rPr>
          <w:sz w:val="21"/>
        </w:rPr>
        <w:t>（</w:t>
      </w:r>
      <w:r>
        <w:rPr>
          <w:sz w:val="21"/>
        </w:rPr>
        <w:t>3</w:t>
      </w:r>
      <w:r>
        <w:rPr>
          <w:sz w:val="21"/>
        </w:rPr>
        <w:t>）乙方应按照合同要求投入合格的、充足的运维人员进行项目运维。</w:t>
      </w:r>
    </w:p>
    <w:p>
      <w:pPr>
        <w:pStyle w:val="null3"/>
        <w:ind w:right="180" w:firstLine="420"/>
        <w:jc w:val="left"/>
      </w:pPr>
      <w:r>
        <w:rPr>
          <w:sz w:val="21"/>
        </w:rPr>
        <w:t>（</w:t>
      </w:r>
      <w:r>
        <w:rPr>
          <w:sz w:val="21"/>
        </w:rPr>
        <w:t>4</w:t>
      </w:r>
      <w:r>
        <w:rPr>
          <w:sz w:val="21"/>
        </w:rPr>
        <w:t>）在合同期限内，如乙方要求更换运维人员时，须经甲方认可并顺利完成工作交接后方可更换。</w:t>
      </w:r>
    </w:p>
    <w:p>
      <w:pPr>
        <w:pStyle w:val="null3"/>
        <w:ind w:right="180" w:firstLine="420"/>
        <w:jc w:val="left"/>
      </w:pPr>
      <w:r>
        <w:rPr>
          <w:sz w:val="21"/>
        </w:rPr>
        <w:t>（</w:t>
      </w:r>
      <w:r>
        <w:rPr>
          <w:sz w:val="21"/>
        </w:rPr>
        <w:t>5</w:t>
      </w:r>
      <w:r>
        <w:rPr>
          <w:sz w:val="21"/>
        </w:rPr>
        <w:t>）为做好本项目的运维工作，乙方需为甲方以及负责本项目的工作人员提供技术资料及培训。</w:t>
      </w:r>
    </w:p>
    <w:p>
      <w:pPr>
        <w:pStyle w:val="null3"/>
        <w:ind w:right="180" w:firstLine="420"/>
        <w:jc w:val="left"/>
      </w:pPr>
      <w:r>
        <w:rPr>
          <w:sz w:val="21"/>
        </w:rPr>
        <w:t>（</w:t>
      </w:r>
      <w:r>
        <w:rPr>
          <w:sz w:val="21"/>
        </w:rPr>
        <w:t>6</w:t>
      </w:r>
      <w:r>
        <w:rPr>
          <w:sz w:val="21"/>
        </w:rPr>
        <w:t>）乙方如不按照约定如期履行义务或在约定的期限内无法完成维护工作，甲方有权委托第三方进行处理，所有发生的费用由乙方承担。乙方不得以第三方进行过维修而拒绝承担本合同约定的维护义务。</w:t>
      </w:r>
    </w:p>
    <w:p>
      <w:pPr>
        <w:pStyle w:val="null3"/>
        <w:ind w:right="180" w:firstLine="422"/>
        <w:jc w:val="left"/>
      </w:pPr>
      <w:r>
        <w:rPr>
          <w:sz w:val="21"/>
          <w:b/>
        </w:rPr>
        <w:t>十二、违约责任</w:t>
      </w:r>
    </w:p>
    <w:p>
      <w:pPr>
        <w:pStyle w:val="null3"/>
        <w:ind w:right="180" w:firstLine="420"/>
        <w:jc w:val="left"/>
      </w:pPr>
      <w:r>
        <w:rPr>
          <w:sz w:val="21"/>
        </w:rPr>
        <w:t>1.</w:t>
      </w:r>
      <w:r>
        <w:rPr>
          <w:sz w:val="21"/>
        </w:rPr>
        <w:t>因乙方原因乙方未履行项目服务或履行不符合合同要求的，乙方应按该项目预算的</w:t>
      </w:r>
      <w:r>
        <w:rPr>
          <w:sz w:val="21"/>
        </w:rPr>
        <w:t>10%</w:t>
      </w:r>
      <w:r>
        <w:rPr>
          <w:sz w:val="21"/>
        </w:rPr>
        <w:t>向甲方支付违约金；乙方未履行项目服务或履行不符合合同要求且连续三个月未按要求整改的，乙方应按该项目预算的</w:t>
      </w:r>
      <w:r>
        <w:rPr>
          <w:sz w:val="21"/>
        </w:rPr>
        <w:t>50%</w:t>
      </w:r>
      <w:r>
        <w:rPr>
          <w:sz w:val="21"/>
        </w:rPr>
        <w:t>向甲方支付违约金。</w:t>
      </w:r>
      <w:r>
        <w:br/>
      </w:r>
      <w:r>
        <w:rPr>
          <w:sz w:val="21"/>
        </w:rPr>
        <w:t xml:space="preserve">    </w:t>
      </w:r>
      <w:r>
        <w:rPr>
          <w:sz w:val="21"/>
        </w:rPr>
        <w:t>2.</w:t>
      </w:r>
      <w:r>
        <w:rPr>
          <w:sz w:val="21"/>
        </w:rPr>
        <w:t>若出现以下情况之一的，甲方有权单方面解除合同，乙方须按甲方全部已付款金额的</w:t>
      </w:r>
      <w:r>
        <w:rPr>
          <w:sz w:val="21"/>
        </w:rPr>
        <w:t>20%</w:t>
      </w:r>
      <w:r>
        <w:rPr>
          <w:sz w:val="21"/>
        </w:rPr>
        <w:t>支付违约金。违约金未能弥补甲方全部损失的，乙方应继续承担赔偿责任。</w:t>
      </w:r>
      <w:r>
        <w:br/>
      </w:r>
      <w:r>
        <w:rPr>
          <w:sz w:val="21"/>
        </w:rPr>
        <w:t>（</w:t>
      </w:r>
      <w:r>
        <w:rPr>
          <w:sz w:val="21"/>
        </w:rPr>
        <w:t>1</w:t>
      </w:r>
      <w:r>
        <w:rPr>
          <w:sz w:val="21"/>
        </w:rPr>
        <w:t>）乙方提供的服务不符合招标文件或本合同要求，甲方书面提出整改通知，累计提出达</w:t>
      </w:r>
      <w:r>
        <w:rPr>
          <w:sz w:val="21"/>
        </w:rPr>
        <w:t>3</w:t>
      </w:r>
      <w:r>
        <w:rPr>
          <w:sz w:val="21"/>
        </w:rPr>
        <w:t>次；</w:t>
      </w:r>
      <w:r>
        <w:br/>
      </w:r>
      <w:r>
        <w:rPr>
          <w:sz w:val="21"/>
        </w:rPr>
        <w:t>（</w:t>
      </w:r>
      <w:r>
        <w:rPr>
          <w:sz w:val="21"/>
        </w:rPr>
        <w:t>2</w:t>
      </w:r>
      <w:r>
        <w:rPr>
          <w:sz w:val="21"/>
        </w:rPr>
        <w:t>）由于乙方责任，不能按期完成工作或因工作失误，给甲方造成重大经济损失或事故的。</w:t>
      </w:r>
      <w:r>
        <w:br/>
      </w:r>
      <w:r>
        <w:rPr>
          <w:sz w:val="21"/>
        </w:rPr>
        <w:t xml:space="preserve">    </w:t>
      </w:r>
      <w:r>
        <w:rPr>
          <w:sz w:val="21"/>
        </w:rPr>
        <w:t>3.</w:t>
      </w:r>
      <w:r>
        <w:rPr>
          <w:sz w:val="21"/>
        </w:rPr>
        <w:t>乙方违反本合同第九条违规红线考核要求的，乙方应按合同总价</w:t>
      </w:r>
      <w:r>
        <w:rPr>
          <w:sz w:val="21"/>
        </w:rPr>
        <w:t>10%</w:t>
      </w:r>
      <w:r>
        <w:rPr>
          <w:sz w:val="21"/>
        </w:rPr>
        <w:t>的金额向甲方支付违约金。违约金未能弥补甲方全部损失的，乙方应继续承担赔偿责任。同时，乙方需要对违约行为产生的后果采取针对性补救措施，若乙方拒不整改、整改后仍不符合要求，或者违约行为造成严重后果的，甲方有权单方面解除合同，同时保留进一步追究乙方经济赔偿的权力及相关工作人员的法律责任。</w:t>
      </w:r>
      <w:r>
        <w:br/>
      </w:r>
      <w:r>
        <w:rPr>
          <w:sz w:val="21"/>
        </w:rPr>
        <w:t xml:space="preserve">    </w:t>
      </w:r>
      <w:r>
        <w:rPr>
          <w:sz w:val="21"/>
        </w:rPr>
        <w:t>4.</w:t>
      </w:r>
      <w:r>
        <w:rPr>
          <w:sz w:val="21"/>
        </w:rPr>
        <w:t>乙方应向甲方支付的违约金、赔偿金，甲方有权在应付款项中直接扣除，不足以弥补甲方损失的，甲方有权继续追偿。</w:t>
      </w:r>
      <w:r>
        <w:br/>
      </w:r>
      <w:r>
        <w:rPr>
          <w:sz w:val="21"/>
        </w:rPr>
        <w:t xml:space="preserve">    </w:t>
      </w:r>
      <w:r>
        <w:rPr>
          <w:sz w:val="21"/>
        </w:rPr>
        <w:t>5.</w:t>
      </w:r>
      <w:r>
        <w:rPr>
          <w:sz w:val="21"/>
        </w:rPr>
        <w:t>甲方根据招标文件里对“★”、“▲”重要指标以及商务技术评分表内的相关要求及乙方在投标文件内对“★”、“▲”重要指标以及商务技术评分表内承诺实施的条款实施情况进行检查，如乙方在项目实施前、实施过程中未能按要求落实的，甲方有权单方面解除合同。</w:t>
      </w:r>
      <w:r>
        <w:br/>
      </w:r>
      <w:r>
        <w:rPr>
          <w:sz w:val="21"/>
        </w:rPr>
        <w:t xml:space="preserve">    </w:t>
      </w:r>
      <w:r>
        <w:rPr>
          <w:sz w:val="21"/>
        </w:rPr>
        <w:t>6.</w:t>
      </w:r>
      <w:r>
        <w:rPr>
          <w:sz w:val="21"/>
        </w:rPr>
        <w:t>乙方因违反本合同约定给甲方造成损失，乙方需向甲方赔偿的损失范围包括但不限于第三方索赔、甲方采取补救措施或消除负面影响而产生的诉讼费、取证费、律师费、鉴定费、评估费、诉讼保全保险费等费用。</w:t>
      </w:r>
      <w:r>
        <w:br/>
      </w:r>
      <w:r>
        <w:rPr>
          <w:sz w:val="21"/>
        </w:rPr>
        <w:t xml:space="preserve">    </w:t>
      </w:r>
      <w:r>
        <w:rPr>
          <w:sz w:val="21"/>
        </w:rPr>
        <w:t>7.</w:t>
      </w:r>
      <w:r>
        <w:rPr>
          <w:sz w:val="21"/>
        </w:rPr>
        <w:t>若乙方的违约行为构成违法犯罪，甲方有权提请将涉事参与单位及人员列入政府采购严重违法失信行为记录名单、市场监督管理严重失信名单。</w:t>
      </w:r>
    </w:p>
    <w:p>
      <w:pPr>
        <w:pStyle w:val="null3"/>
        <w:ind w:right="180" w:firstLine="422"/>
        <w:jc w:val="left"/>
      </w:pPr>
      <w:r>
        <w:rPr>
          <w:sz w:val="21"/>
          <w:b/>
        </w:rPr>
        <w:t>十三、争议的解决</w:t>
      </w:r>
    </w:p>
    <w:p>
      <w:pPr>
        <w:pStyle w:val="null3"/>
        <w:ind w:right="180" w:firstLine="420"/>
        <w:jc w:val="left"/>
      </w:pPr>
      <w:r>
        <w:rPr>
          <w:sz w:val="21"/>
        </w:rPr>
        <w:t>本合同的争议适用中华人民共和国法律。由于本合同的履行或而产生的与之有关的任何争议，如双方无法协商解决的，直接向中山市第二人民法院提出诉讼。诉讼进行过程中，各方将继续履行未涉诉讼的其它部分。</w:t>
      </w:r>
    </w:p>
    <w:p>
      <w:pPr>
        <w:pStyle w:val="null3"/>
        <w:ind w:right="180" w:firstLine="422"/>
        <w:jc w:val="left"/>
      </w:pPr>
      <w:r>
        <w:rPr>
          <w:sz w:val="21"/>
          <w:b/>
        </w:rPr>
        <w:t>十四、不可抗力</w:t>
      </w:r>
    </w:p>
    <w:p>
      <w:pPr>
        <w:pStyle w:val="null3"/>
        <w:ind w:right="180" w:firstLine="420"/>
        <w:jc w:val="left"/>
      </w:pPr>
      <w:r>
        <w:rPr>
          <w:sz w:val="21"/>
        </w:rPr>
        <w:t>任何一方由于不可抗力原因不能履行合同时，应在不可抗力事件发生之日起向对方通报，以减轻可能给对方造成的损失，在取得有关机构的不可抗力证明和另一方谅解确认后，允许延期履行或修订合同，并根据情况可部分或全部免于承担违约责任。</w:t>
      </w:r>
    </w:p>
    <w:p>
      <w:pPr>
        <w:pStyle w:val="null3"/>
        <w:ind w:right="180" w:firstLine="422"/>
        <w:jc w:val="left"/>
      </w:pPr>
      <w:r>
        <w:rPr>
          <w:sz w:val="21"/>
          <w:b/>
        </w:rPr>
        <w:t>十五、税费</w:t>
      </w:r>
    </w:p>
    <w:p>
      <w:pPr>
        <w:pStyle w:val="null3"/>
        <w:ind w:right="180" w:firstLine="420"/>
        <w:jc w:val="left"/>
      </w:pPr>
      <w:r>
        <w:rPr>
          <w:sz w:val="21"/>
        </w:rPr>
        <w:t>在中国境内、外发生的与本合同执行有关的一切税费均由乙方负担。</w:t>
      </w:r>
    </w:p>
    <w:p>
      <w:pPr>
        <w:pStyle w:val="null3"/>
        <w:ind w:right="180" w:firstLine="422"/>
        <w:jc w:val="left"/>
      </w:pPr>
      <w:r>
        <w:rPr>
          <w:sz w:val="21"/>
          <w:b/>
        </w:rPr>
        <w:t>十六、其它</w:t>
      </w:r>
    </w:p>
    <w:p>
      <w:pPr>
        <w:pStyle w:val="null3"/>
        <w:ind w:right="180" w:firstLine="420"/>
        <w:jc w:val="left"/>
      </w:pPr>
      <w:r>
        <w:rPr>
          <w:sz w:val="21"/>
        </w:rPr>
        <w:t>1.</w:t>
      </w:r>
      <w:r>
        <w:rPr>
          <w:sz w:val="21"/>
        </w:rPr>
        <w:t>本合同之所有附件均为合同的有效组成部分，与本合同具有同等法律效力。</w:t>
      </w:r>
    </w:p>
    <w:p>
      <w:pPr>
        <w:pStyle w:val="null3"/>
        <w:ind w:right="180" w:firstLine="420"/>
        <w:jc w:val="left"/>
      </w:pPr>
      <w:r>
        <w:rPr>
          <w:sz w:val="21"/>
        </w:rPr>
        <w:t>2.</w:t>
      </w:r>
      <w:r>
        <w:rPr>
          <w:sz w:val="21"/>
        </w:rPr>
        <w:t>在执行本合同的过程中，所有经双方共同签署的补充与修正文件即成为本合同的有效组成部分，与本合同具有同等法律效力，如有冲突应以最后签订的文件为准。</w:t>
      </w:r>
    </w:p>
    <w:p>
      <w:pPr>
        <w:pStyle w:val="null3"/>
        <w:ind w:right="180" w:firstLine="420"/>
        <w:jc w:val="left"/>
      </w:pPr>
      <w:r>
        <w:rPr>
          <w:sz w:val="21"/>
        </w:rPr>
        <w:t>3.</w:t>
      </w:r>
      <w:r>
        <w:rPr>
          <w:sz w:val="21"/>
        </w:rPr>
        <w:t>如一方地址、电话、银行账号等重要事项有变更，应在变更当日内书面通知对方，否则应承担相应责任。</w:t>
      </w:r>
    </w:p>
    <w:p>
      <w:pPr>
        <w:pStyle w:val="null3"/>
        <w:ind w:right="180" w:firstLine="420"/>
        <w:jc w:val="left"/>
      </w:pPr>
      <w:r>
        <w:rPr>
          <w:sz w:val="21"/>
        </w:rPr>
        <w:t>4.</w:t>
      </w:r>
      <w:r>
        <w:rPr>
          <w:sz w:val="21"/>
        </w:rPr>
        <w:t>除甲方事先书面同意外，乙方不得部分或全部转让其应履行的合同项下的义务。</w:t>
      </w:r>
    </w:p>
    <w:p>
      <w:pPr>
        <w:pStyle w:val="null3"/>
        <w:ind w:right="180" w:firstLine="420"/>
        <w:jc w:val="left"/>
      </w:pPr>
      <w:r>
        <w:rPr>
          <w:sz w:val="21"/>
        </w:rPr>
        <w:t>5.</w:t>
      </w:r>
      <w:r>
        <w:rPr>
          <w:sz w:val="21"/>
        </w:rPr>
        <w:t>乙方必须确保所提供的所有软件和硬件不存在知识产权纠纷，否则由此造成的一切责任由乙方承担。</w:t>
      </w:r>
    </w:p>
    <w:p>
      <w:pPr>
        <w:pStyle w:val="null3"/>
        <w:ind w:right="180" w:firstLine="422"/>
        <w:jc w:val="left"/>
      </w:pPr>
      <w:r>
        <w:rPr>
          <w:sz w:val="21"/>
          <w:b/>
        </w:rPr>
        <w:t>十七、合同生效</w:t>
      </w:r>
    </w:p>
    <w:p>
      <w:pPr>
        <w:pStyle w:val="null3"/>
        <w:ind w:right="180" w:firstLine="420"/>
        <w:jc w:val="left"/>
      </w:pPr>
      <w:r>
        <w:rPr>
          <w:sz w:val="21"/>
        </w:rPr>
        <w:t>1.</w:t>
      </w:r>
      <w:r>
        <w:rPr>
          <w:sz w:val="21"/>
        </w:rPr>
        <w:t>本合同在甲乙双方法人代表或其授权代表签字盖章后生效。</w:t>
      </w:r>
    </w:p>
    <w:p>
      <w:pPr>
        <w:pStyle w:val="null3"/>
        <w:ind w:right="180" w:firstLine="420"/>
        <w:jc w:val="left"/>
      </w:pPr>
      <w:r>
        <w:rPr>
          <w:sz w:val="21"/>
        </w:rPr>
        <w:t>2.</w:t>
      </w:r>
      <w:r>
        <w:rPr>
          <w:sz w:val="21"/>
        </w:rPr>
        <w:t>本合同正本一式伍份，甲乙双方各执贰份，本项目的招标代理执壹份。</w:t>
      </w:r>
    </w:p>
    <w:p>
      <w:pPr>
        <w:pStyle w:val="null3"/>
        <w:ind w:right="180"/>
        <w:jc w:val="left"/>
      </w:pPr>
      <w:r>
        <w:rPr>
          <w:sz w:val="21"/>
        </w:rPr>
        <w:t>甲方（盖章）：</w:t>
      </w:r>
      <w:r>
        <w:rPr>
          <w:sz w:val="21"/>
        </w:rPr>
        <w:t>中山市公安局古镇分局</w:t>
      </w:r>
      <w:r>
        <w:rPr>
          <w:sz w:val="21"/>
        </w:rPr>
        <w:t xml:space="preserve">               </w:t>
      </w:r>
      <w:r>
        <w:rPr>
          <w:sz w:val="21"/>
        </w:rPr>
        <w:t>乙方（盖章）：</w:t>
      </w:r>
    </w:p>
    <w:p>
      <w:pPr>
        <w:pStyle w:val="null3"/>
        <w:ind w:right="180"/>
        <w:jc w:val="left"/>
      </w:pPr>
      <w:r>
        <w:rPr>
          <w:sz w:val="21"/>
        </w:rPr>
        <w:t>法人代表或授权代理人（签字）：</w:t>
      </w:r>
      <w:r>
        <w:rPr>
          <w:sz w:val="21"/>
        </w:rPr>
        <w:t xml:space="preserve">                  </w:t>
      </w:r>
      <w:r>
        <w:rPr>
          <w:sz w:val="21"/>
        </w:rPr>
        <w:t>法人代表或授权代理人（签字）：</w:t>
      </w:r>
    </w:p>
    <w:p>
      <w:pPr>
        <w:pStyle w:val="null3"/>
        <w:ind w:right="180"/>
        <w:jc w:val="left"/>
      </w:pPr>
      <w:r>
        <w:rPr>
          <w:sz w:val="21"/>
        </w:rPr>
        <w:t>开户银行：</w:t>
      </w:r>
      <w:r>
        <w:rPr>
          <w:sz w:val="21"/>
        </w:rPr>
        <w:t xml:space="preserve">   </w:t>
      </w:r>
    </w:p>
    <w:p>
      <w:pPr>
        <w:pStyle w:val="null3"/>
        <w:ind w:right="180"/>
        <w:jc w:val="left"/>
      </w:pPr>
      <w:r>
        <w:rPr>
          <w:sz w:val="21"/>
        </w:rPr>
        <w:t>开户名称：</w:t>
      </w:r>
    </w:p>
    <w:p>
      <w:pPr>
        <w:pStyle w:val="null3"/>
        <w:ind w:right="180"/>
        <w:jc w:val="left"/>
      </w:pPr>
      <w:r>
        <w:rPr>
          <w:sz w:val="21"/>
        </w:rPr>
        <w:t>银行帐号：</w:t>
      </w:r>
    </w:p>
    <w:p>
      <w:pPr>
        <w:pStyle w:val="null3"/>
        <w:ind w:right="180"/>
        <w:jc w:val="lef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t xml:space="preserve">                     </w:t>
      </w:r>
      <w:r>
        <w:rPr>
          <w:sz w:val="21"/>
        </w:rPr>
        <w:t xml:space="preserve"> </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left="180" w:right="180" w:firstLine="400"/>
        <w:jc w:val="left"/>
      </w:pPr>
      <w:r>
        <w:rPr/>
        <w:t xml:space="preserve"> </w:t>
      </w:r>
    </w:p>
    <w:p>
      <w:pPr>
        <w:pStyle w:val="null3"/>
        <w:ind w:right="180"/>
        <w:jc w:val="left"/>
      </w:pPr>
      <w:r>
        <w:rPr>
          <w:sz w:val="21"/>
          <w:b/>
        </w:rPr>
        <w:t>合同附件：</w:t>
      </w:r>
    </w:p>
    <w:p>
      <w:pPr>
        <w:pStyle w:val="null3"/>
        <w:ind w:right="180"/>
        <w:jc w:val="left"/>
      </w:pPr>
      <w:r>
        <w:rPr>
          <w:sz w:val="21"/>
        </w:rPr>
        <w:t>附件</w:t>
      </w:r>
      <w:r>
        <w:rPr>
          <w:sz w:val="21"/>
        </w:rPr>
        <w:t>1.</w:t>
      </w:r>
      <w:r>
        <w:rPr>
          <w:sz w:val="21"/>
        </w:rPr>
        <w:t>招标文件（另册）</w:t>
      </w:r>
    </w:p>
    <w:p>
      <w:pPr>
        <w:pStyle w:val="null3"/>
        <w:jc w:val="left"/>
      </w:pPr>
      <w:r>
        <w:rPr>
          <w:sz w:val="21"/>
        </w:rPr>
        <w:t>附件</w:t>
      </w:r>
      <w:r>
        <w:rPr>
          <w:sz w:val="21"/>
        </w:rPr>
        <w:t>2.</w:t>
      </w:r>
      <w:r>
        <w:rPr>
          <w:sz w:val="21"/>
        </w:rPr>
        <w:t>投标文件（另册）</w:t>
      </w:r>
    </w:p>
    <w:p>
      <w:pPr>
        <w:pStyle w:val="null3"/>
        <w:jc w:val="left"/>
      </w:pPr>
      <w:r>
        <w:rPr>
          <w:sz w:val="21"/>
        </w:rPr>
        <w:t>附件</w:t>
      </w:r>
      <w:r>
        <w:rPr>
          <w:sz w:val="21"/>
        </w:rPr>
        <w:t>3.</w:t>
      </w:r>
      <w:r>
        <w:rPr>
          <w:sz w:val="21"/>
        </w:rPr>
        <w:t>中标通知书</w:t>
      </w:r>
    </w:p>
    <w:p>
      <w:pPr>
        <w:pStyle w:val="null3"/>
        <w:jc w:val="left"/>
      </w:pPr>
      <w:r>
        <w:rPr>
          <w:sz w:val="21"/>
        </w:rPr>
        <w:t>附件</w:t>
      </w:r>
      <w:r>
        <w:rPr>
          <w:sz w:val="21"/>
        </w:rPr>
        <w:t>4.</w:t>
      </w:r>
      <w:r>
        <w:rPr>
          <w:sz w:val="21"/>
        </w:rPr>
        <w:t>项目维护内容（设备）明细清单</w:t>
      </w:r>
    </w:p>
    <w:p>
      <w:pPr>
        <w:pStyle w:val="null3"/>
        <w:jc w:val="left"/>
      </w:pPr>
      <w:r>
        <w:rPr>
          <w:sz w:val="21"/>
        </w:rPr>
        <w:t>附件</w:t>
      </w:r>
      <w:r>
        <w:rPr>
          <w:sz w:val="21"/>
        </w:rPr>
        <w:t>5.</w:t>
      </w:r>
      <w:r>
        <w:rPr>
          <w:sz w:val="21"/>
        </w:rPr>
        <w:t>中山市公安局古镇分局</w:t>
      </w:r>
      <w:r>
        <w:rPr>
          <w:sz w:val="21"/>
        </w:rPr>
        <w:t>运维服务工作服务考核表</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691"/>
        <w:gridCol w:w="1442"/>
        <w:gridCol w:w="1652"/>
        <w:gridCol w:w="3410"/>
        <w:gridCol w:w="1111"/>
      </w:tblGrid>
      <w:tr>
        <w:tc>
          <w:tcPr>
            <w:tcW w:type="dxa" w:w="691"/>
            <w:tcBorders>
              <w:top w:val="single" w:color="000000" w:sz="4"/>
              <w:left w:val="singl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sz w:val="21"/>
                <w:b/>
              </w:rPr>
              <w:t>序号</w:t>
            </w:r>
          </w:p>
        </w:tc>
        <w:tc>
          <w:tcPr>
            <w:tcW w:type="dxa" w:w="1442"/>
            <w:tcBorders>
              <w:top w:val="single" w:color="000000" w:sz="4"/>
              <w:left w:val="singl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sz w:val="21"/>
                <w:b/>
              </w:rPr>
              <w:t>考核</w:t>
            </w:r>
          </w:p>
          <w:p>
            <w:pPr>
              <w:pStyle w:val="null3"/>
              <w:jc w:val="center"/>
            </w:pPr>
            <w:r>
              <w:rPr>
                <w:sz w:val="21"/>
                <w:b/>
              </w:rPr>
              <w:t>类别</w:t>
            </w:r>
          </w:p>
        </w:tc>
        <w:tc>
          <w:tcPr>
            <w:tcW w:type="dxa" w:w="1652"/>
            <w:tcBorders>
              <w:top w:val="single" w:color="000000" w:sz="4"/>
              <w:left w:val="singl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sz w:val="21"/>
                <w:b/>
              </w:rPr>
              <w:t>考核项目</w:t>
            </w:r>
          </w:p>
        </w:tc>
        <w:tc>
          <w:tcPr>
            <w:tcW w:type="dxa" w:w="3410"/>
            <w:tcBorders>
              <w:top w:val="single" w:color="000000" w:sz="4"/>
              <w:left w:val="singl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sz w:val="21"/>
                <w:b/>
              </w:rPr>
              <w:t>考核内容</w:t>
            </w:r>
          </w:p>
        </w:tc>
        <w:tc>
          <w:tcPr>
            <w:tcW w:type="dxa" w:w="1111"/>
            <w:tcBorders>
              <w:top w:val="single" w:color="000000" w:sz="4"/>
              <w:left w:val="singl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sz w:val="21"/>
                <w:b/>
              </w:rPr>
              <w:t>扣分</w:t>
            </w: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1</w:t>
            </w:r>
          </w:p>
        </w:tc>
        <w:tc>
          <w:tcPr>
            <w:tcW w:type="dxa" w:w="1442"/>
            <w:vMerge w:val="restart"/>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服务人员考核</w:t>
            </w:r>
          </w:p>
        </w:tc>
        <w:tc>
          <w:tcPr>
            <w:tcW w:type="dxa" w:w="165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人员岗位设置</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符合要求实际驻场人数</w:t>
            </w:r>
            <w:r>
              <w:rPr>
                <w:sz w:val="21"/>
              </w:rPr>
              <w:t>/</w:t>
            </w:r>
            <w:r>
              <w:rPr>
                <w:sz w:val="21"/>
              </w:rPr>
              <w:t>合同要求人数，不满足要求人数，每发现一人次扣</w:t>
            </w:r>
            <w:r>
              <w:rPr>
                <w:sz w:val="21"/>
              </w:rPr>
              <w:t>4</w:t>
            </w:r>
            <w:r>
              <w:rPr>
                <w:sz w:val="21"/>
              </w:rPr>
              <w:t>分；</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2</w:t>
            </w:r>
          </w:p>
        </w:tc>
        <w:tc>
          <w:tcPr>
            <w:tcW w:type="dxa" w:w="1442"/>
            <w:vMerge/>
            <w:tcBorders>
              <w:top w:val="none" w:color="000000" w:sz="4"/>
              <w:left w:val="single" w:color="000000" w:sz="4"/>
              <w:bottom w:val="single" w:color="000000" w:sz="4"/>
              <w:right w:val="single" w:color="000000" w:sz="4"/>
            </w:tcBorders>
          </w:tcPr>
          <w:p/>
        </w:tc>
        <w:tc>
          <w:tcPr>
            <w:tcW w:type="dxa" w:w="165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人员稳定性</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服务人员在服务期间未经甲方许可出现更换，每发现一人次扣</w:t>
            </w:r>
            <w:r>
              <w:rPr>
                <w:sz w:val="21"/>
              </w:rPr>
              <w:t>4</w:t>
            </w:r>
            <w:r>
              <w:rPr>
                <w:sz w:val="21"/>
              </w:rPr>
              <w:t>分；</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3</w:t>
            </w:r>
          </w:p>
        </w:tc>
        <w:tc>
          <w:tcPr>
            <w:tcW w:type="dxa" w:w="1442"/>
            <w:vMerge/>
            <w:tcBorders>
              <w:top w:val="none" w:color="000000" w:sz="4"/>
              <w:left w:val="single" w:color="000000" w:sz="4"/>
              <w:bottom w:val="single" w:color="000000" w:sz="4"/>
              <w:right w:val="single" w:color="000000" w:sz="4"/>
            </w:tcBorders>
          </w:tcPr>
          <w:p/>
        </w:tc>
        <w:tc>
          <w:tcPr>
            <w:tcW w:type="dxa" w:w="165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人员工作满意度</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客户投诉每次扣</w:t>
            </w:r>
            <w:r>
              <w:rPr>
                <w:sz w:val="21"/>
              </w:rPr>
              <w:t>4</w:t>
            </w:r>
            <w:r>
              <w:rPr>
                <w:sz w:val="21"/>
              </w:rPr>
              <w:t>分，书面警告每次扣</w:t>
            </w:r>
            <w:r>
              <w:rPr>
                <w:sz w:val="21"/>
              </w:rPr>
              <w:t>6</w:t>
            </w:r>
            <w:r>
              <w:rPr>
                <w:sz w:val="21"/>
              </w:rPr>
              <w:t>分；</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4</w:t>
            </w:r>
          </w:p>
        </w:tc>
        <w:tc>
          <w:tcPr>
            <w:tcW w:type="dxa" w:w="1442"/>
            <w:vMerge/>
            <w:tcBorders>
              <w:top w:val="none" w:color="000000" w:sz="4"/>
              <w:left w:val="single" w:color="000000" w:sz="4"/>
              <w:bottom w:val="single" w:color="000000" w:sz="4"/>
              <w:right w:val="single" w:color="000000" w:sz="4"/>
            </w:tcBorders>
          </w:tcPr>
          <w:p/>
        </w:tc>
        <w:tc>
          <w:tcPr>
            <w:tcW w:type="dxa" w:w="165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人员业务水平</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考核工程师对业务的熟悉程度、相关知识掌握程度、运维项目保密工作等的考核。出现误操作事件每人次扣</w:t>
            </w:r>
            <w:r>
              <w:rPr>
                <w:sz w:val="21"/>
              </w:rPr>
              <w:t>4</w:t>
            </w:r>
            <w:r>
              <w:rPr>
                <w:sz w:val="21"/>
              </w:rPr>
              <w:t>分；</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5</w:t>
            </w:r>
          </w:p>
        </w:tc>
        <w:tc>
          <w:tcPr>
            <w:tcW w:type="dxa" w:w="1442"/>
            <w:vMerge w:val="restart"/>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服务提供</w:t>
            </w:r>
          </w:p>
        </w:tc>
        <w:tc>
          <w:tcPr>
            <w:tcW w:type="dxa" w:w="165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网络接入</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按合同要求，按时完成网络接入</w:t>
            </w:r>
            <w:r>
              <w:rPr>
                <w:sz w:val="21"/>
              </w:rPr>
              <w:t>.</w:t>
            </w:r>
            <w:r>
              <w:rPr>
                <w:sz w:val="21"/>
              </w:rPr>
              <w:t>每逾期一天，扣</w:t>
            </w:r>
            <w:r>
              <w:rPr>
                <w:sz w:val="21"/>
              </w:rPr>
              <w:t>1</w:t>
            </w:r>
            <w:r>
              <w:rPr>
                <w:sz w:val="21"/>
              </w:rPr>
              <w:t>分；</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6</w:t>
            </w:r>
          </w:p>
        </w:tc>
        <w:tc>
          <w:tcPr>
            <w:tcW w:type="dxa" w:w="1442"/>
            <w:vMerge/>
            <w:tcBorders>
              <w:top w:val="none" w:color="000000" w:sz="4"/>
              <w:left w:val="single" w:color="000000" w:sz="4"/>
              <w:bottom w:val="single" w:color="000000" w:sz="4"/>
              <w:right w:val="single" w:color="000000" w:sz="4"/>
            </w:tcBorders>
          </w:tcPr>
          <w:p/>
        </w:tc>
        <w:tc>
          <w:tcPr>
            <w:tcW w:type="dxa" w:w="165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终端及配套</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按合同要求提供终端、安全卡、终端管控服务，每少一项，每台每天扣</w:t>
            </w:r>
            <w:r>
              <w:rPr>
                <w:sz w:val="21"/>
              </w:rPr>
              <w:t>0.3</w:t>
            </w:r>
            <w:r>
              <w:rPr>
                <w:sz w:val="21"/>
              </w:rPr>
              <w:t>分；</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7</w:t>
            </w:r>
          </w:p>
        </w:tc>
        <w:tc>
          <w:tcPr>
            <w:tcW w:type="dxa" w:w="144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违规业务</w:t>
            </w:r>
          </w:p>
        </w:tc>
        <w:tc>
          <w:tcPr>
            <w:tcW w:type="dxa" w:w="165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违规业务</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对警务通</w:t>
            </w:r>
            <w:r>
              <w:rPr>
                <w:sz w:val="21"/>
              </w:rPr>
              <w:t>/</w:t>
            </w:r>
            <w:r>
              <w:rPr>
                <w:sz w:val="21"/>
              </w:rPr>
              <w:t>辅警通用户推销办理宽带、有线电视等私人服务的，每发现一次扣</w:t>
            </w:r>
            <w:r>
              <w:rPr>
                <w:sz w:val="21"/>
              </w:rPr>
              <w:t>1</w:t>
            </w:r>
            <w:r>
              <w:rPr>
                <w:sz w:val="21"/>
              </w:rPr>
              <w:t>分；未及时解除个人宽带、有线电视绑定的，每逾期一天扣</w:t>
            </w:r>
            <w:r>
              <w:rPr>
                <w:sz w:val="21"/>
              </w:rPr>
              <w:t>0.5</w:t>
            </w:r>
            <w:r>
              <w:rPr>
                <w:sz w:val="21"/>
              </w:rPr>
              <w:t>分；</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8</w:t>
            </w:r>
          </w:p>
        </w:tc>
        <w:tc>
          <w:tcPr>
            <w:tcW w:type="dxa" w:w="1442"/>
            <w:vMerge w:val="restart"/>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日常维护</w:t>
            </w:r>
          </w:p>
        </w:tc>
        <w:tc>
          <w:tcPr>
            <w:tcW w:type="dxa" w:w="165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巡检和应急支持</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按要求完成日常运维任务，未按时进行巡检的，扣</w:t>
            </w:r>
            <w:r>
              <w:rPr>
                <w:sz w:val="21"/>
              </w:rPr>
              <w:t>0.5</w:t>
            </w:r>
            <w:r>
              <w:rPr>
                <w:sz w:val="21"/>
              </w:rPr>
              <w:t>分</w:t>
            </w:r>
            <w:r>
              <w:rPr>
                <w:sz w:val="21"/>
              </w:rPr>
              <w:t>/</w:t>
            </w:r>
            <w:r>
              <w:rPr>
                <w:sz w:val="21"/>
              </w:rPr>
              <w:t>次；未按要求响应支持应急和处理事件的，扣</w:t>
            </w:r>
            <w:r>
              <w:rPr>
                <w:sz w:val="21"/>
              </w:rPr>
              <w:t>1</w:t>
            </w:r>
            <w:r>
              <w:rPr>
                <w:sz w:val="21"/>
              </w:rPr>
              <w:t>分</w:t>
            </w:r>
            <w:r>
              <w:rPr>
                <w:sz w:val="21"/>
              </w:rPr>
              <w:t>/</w:t>
            </w:r>
            <w:r>
              <w:rPr>
                <w:sz w:val="21"/>
              </w:rPr>
              <w:t>次；</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9</w:t>
            </w:r>
          </w:p>
        </w:tc>
        <w:tc>
          <w:tcPr>
            <w:tcW w:type="dxa" w:w="1442"/>
            <w:vMerge/>
            <w:tcBorders>
              <w:top w:val="none" w:color="000000" w:sz="4"/>
              <w:left w:val="single" w:color="000000" w:sz="4"/>
              <w:bottom w:val="single" w:color="000000" w:sz="4"/>
              <w:right w:val="single" w:color="000000" w:sz="4"/>
            </w:tcBorders>
          </w:tcPr>
          <w:p/>
        </w:tc>
        <w:tc>
          <w:tcPr>
            <w:tcW w:type="dxa" w:w="165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报告提交情况</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按要求准时提交相关日报、月报、周报、季度报告、重大故障报告等相关报告，未按要求准时提交一次扣</w:t>
            </w:r>
            <w:r>
              <w:rPr>
                <w:sz w:val="21"/>
              </w:rPr>
              <w:t>1</w:t>
            </w:r>
            <w:r>
              <w:rPr>
                <w:sz w:val="21"/>
              </w:rPr>
              <w:t>分；</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10</w:t>
            </w:r>
          </w:p>
        </w:tc>
        <w:tc>
          <w:tcPr>
            <w:tcW w:type="dxa" w:w="1442"/>
            <w:vMerge/>
            <w:tcBorders>
              <w:top w:val="none" w:color="000000" w:sz="4"/>
              <w:left w:val="single" w:color="000000" w:sz="4"/>
              <w:bottom w:val="single" w:color="000000" w:sz="4"/>
              <w:right w:val="single" w:color="000000" w:sz="4"/>
            </w:tcBorders>
          </w:tcPr>
          <w:p/>
        </w:tc>
        <w:tc>
          <w:tcPr>
            <w:tcW w:type="dxa" w:w="165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软硬件升级</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软硬件升级前没有事先向甲方申请或沟通而造成不良影响的，扣</w:t>
            </w:r>
            <w:r>
              <w:rPr>
                <w:sz w:val="21"/>
              </w:rPr>
              <w:t>1</w:t>
            </w:r>
            <w:r>
              <w:rPr>
                <w:sz w:val="21"/>
              </w:rPr>
              <w:t>分</w:t>
            </w:r>
            <w:r>
              <w:rPr>
                <w:sz w:val="21"/>
              </w:rPr>
              <w:t>/</w:t>
            </w:r>
            <w:r>
              <w:rPr>
                <w:sz w:val="21"/>
              </w:rPr>
              <w:t>次；未按照甲方要求进行升级的，扣</w:t>
            </w:r>
            <w:r>
              <w:rPr>
                <w:sz w:val="21"/>
              </w:rPr>
              <w:t>2</w:t>
            </w:r>
            <w:r>
              <w:rPr>
                <w:sz w:val="21"/>
              </w:rPr>
              <w:t>分</w:t>
            </w:r>
            <w:r>
              <w:rPr>
                <w:sz w:val="21"/>
              </w:rPr>
              <w:t>/</w:t>
            </w:r>
            <w:r>
              <w:rPr>
                <w:sz w:val="21"/>
              </w:rPr>
              <w:t>次，造成不良影响的，扣</w:t>
            </w:r>
            <w:r>
              <w:rPr>
                <w:sz w:val="21"/>
              </w:rPr>
              <w:t>3</w:t>
            </w:r>
            <w:r>
              <w:rPr>
                <w:sz w:val="21"/>
              </w:rPr>
              <w:t>分</w:t>
            </w:r>
            <w:r>
              <w:rPr>
                <w:sz w:val="21"/>
              </w:rPr>
              <w:t>/</w:t>
            </w:r>
            <w:r>
              <w:rPr>
                <w:sz w:val="21"/>
              </w:rPr>
              <w:t>次。</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11</w:t>
            </w:r>
          </w:p>
        </w:tc>
        <w:tc>
          <w:tcPr>
            <w:tcW w:type="dxa" w:w="1442"/>
            <w:vMerge/>
            <w:tcBorders>
              <w:top w:val="none" w:color="000000" w:sz="4"/>
              <w:left w:val="single" w:color="000000" w:sz="4"/>
              <w:bottom w:val="single" w:color="000000" w:sz="4"/>
              <w:right w:val="single" w:color="000000" w:sz="4"/>
            </w:tcBorders>
          </w:tcPr>
          <w:p/>
        </w:tc>
        <w:tc>
          <w:tcPr>
            <w:tcW w:type="dxa" w:w="165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故障处理</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出现故障后没按故障正确的处理流程操作导致重大损失和造成恶劣影响的，扣</w:t>
            </w:r>
            <w:r>
              <w:rPr>
                <w:sz w:val="21"/>
              </w:rPr>
              <w:t>15</w:t>
            </w:r>
            <w:r>
              <w:rPr>
                <w:sz w:val="21"/>
              </w:rPr>
              <w:t>分</w:t>
            </w:r>
            <w:r>
              <w:rPr>
                <w:sz w:val="21"/>
              </w:rPr>
              <w:t>/</w:t>
            </w:r>
            <w:r>
              <w:rPr>
                <w:sz w:val="21"/>
              </w:rPr>
              <w:t>次；</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12</w:t>
            </w:r>
          </w:p>
        </w:tc>
        <w:tc>
          <w:tcPr>
            <w:tcW w:type="dxa" w:w="1442"/>
            <w:vMerge/>
            <w:tcBorders>
              <w:top w:val="none" w:color="000000" w:sz="4"/>
              <w:left w:val="single" w:color="000000" w:sz="4"/>
              <w:bottom w:val="single" w:color="000000" w:sz="4"/>
              <w:right w:val="single" w:color="000000" w:sz="4"/>
            </w:tcBorders>
          </w:tcPr>
          <w:p/>
        </w:tc>
        <w:tc>
          <w:tcPr>
            <w:tcW w:type="dxa" w:w="165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功能变更管理</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未经管理方私自进行功能变更的，扣</w:t>
            </w:r>
            <w:r>
              <w:rPr>
                <w:sz w:val="21"/>
              </w:rPr>
              <w:t>2</w:t>
            </w:r>
            <w:r>
              <w:rPr>
                <w:sz w:val="21"/>
              </w:rPr>
              <w:t>分</w:t>
            </w:r>
            <w:r>
              <w:rPr>
                <w:sz w:val="21"/>
              </w:rPr>
              <w:t>/</w:t>
            </w:r>
            <w:r>
              <w:rPr>
                <w:sz w:val="21"/>
              </w:rPr>
              <w:t>次，未按时按质完成功能变更的，扣</w:t>
            </w:r>
            <w:r>
              <w:rPr>
                <w:sz w:val="21"/>
              </w:rPr>
              <w:t>2</w:t>
            </w:r>
            <w:r>
              <w:rPr>
                <w:sz w:val="21"/>
              </w:rPr>
              <w:t>分</w:t>
            </w:r>
            <w:r>
              <w:rPr>
                <w:sz w:val="21"/>
              </w:rPr>
              <w:t>/</w:t>
            </w:r>
            <w:r>
              <w:rPr>
                <w:sz w:val="21"/>
              </w:rPr>
              <w:t>次；</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13</w:t>
            </w:r>
          </w:p>
        </w:tc>
        <w:tc>
          <w:tcPr>
            <w:tcW w:type="dxa" w:w="1442"/>
            <w:vMerge/>
            <w:tcBorders>
              <w:top w:val="none" w:color="000000" w:sz="4"/>
              <w:left w:val="single" w:color="000000" w:sz="4"/>
              <w:bottom w:val="single" w:color="000000" w:sz="4"/>
              <w:right w:val="single" w:color="000000" w:sz="4"/>
            </w:tcBorders>
          </w:tcPr>
          <w:p/>
        </w:tc>
        <w:tc>
          <w:tcPr>
            <w:tcW w:type="dxa" w:w="165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安全管理</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违反安全管理制度，人为造成严重、重大故障的，扣</w:t>
            </w:r>
            <w:r>
              <w:rPr>
                <w:sz w:val="21"/>
              </w:rPr>
              <w:t>15</w:t>
            </w:r>
            <w:r>
              <w:rPr>
                <w:sz w:val="21"/>
              </w:rPr>
              <w:t>分</w:t>
            </w:r>
            <w:r>
              <w:rPr>
                <w:sz w:val="21"/>
              </w:rPr>
              <w:t>/</w:t>
            </w:r>
            <w:r>
              <w:rPr>
                <w:sz w:val="21"/>
              </w:rPr>
              <w:t>次；</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14</w:t>
            </w:r>
          </w:p>
        </w:tc>
        <w:tc>
          <w:tcPr>
            <w:tcW w:type="dxa" w:w="1442"/>
            <w:vMerge w:val="restart"/>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响应型服务质量</w:t>
            </w:r>
          </w:p>
        </w:tc>
        <w:tc>
          <w:tcPr>
            <w:tcW w:type="dxa" w:w="165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事件响应时间达标率</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达标率低于</w:t>
            </w:r>
            <w:r>
              <w:rPr>
                <w:sz w:val="21"/>
              </w:rPr>
              <w:t>70%</w:t>
            </w:r>
            <w:r>
              <w:rPr>
                <w:sz w:val="21"/>
              </w:rPr>
              <w:t>（扣</w:t>
            </w:r>
            <w:r>
              <w:rPr>
                <w:sz w:val="21"/>
              </w:rPr>
              <w:t>6</w:t>
            </w:r>
            <w:r>
              <w:rPr>
                <w:sz w:val="21"/>
              </w:rPr>
              <w:t>分）；低于</w:t>
            </w:r>
            <w:r>
              <w:rPr>
                <w:sz w:val="21"/>
              </w:rPr>
              <w:t>80%</w:t>
            </w:r>
            <w:r>
              <w:rPr>
                <w:sz w:val="21"/>
              </w:rPr>
              <w:t>（扣</w:t>
            </w:r>
            <w:r>
              <w:rPr>
                <w:sz w:val="21"/>
              </w:rPr>
              <w:t>4</w:t>
            </w:r>
            <w:r>
              <w:rPr>
                <w:sz w:val="21"/>
              </w:rPr>
              <w:t>分）；低于</w:t>
            </w:r>
            <w:r>
              <w:rPr>
                <w:sz w:val="21"/>
              </w:rPr>
              <w:t>90%</w:t>
            </w:r>
            <w:r>
              <w:rPr>
                <w:sz w:val="21"/>
              </w:rPr>
              <w:t>（扣</w:t>
            </w:r>
            <w:r>
              <w:rPr>
                <w:sz w:val="21"/>
              </w:rPr>
              <w:t>2</w:t>
            </w:r>
            <w:r>
              <w:rPr>
                <w:sz w:val="21"/>
              </w:rPr>
              <w:t>分）；低于</w:t>
            </w:r>
            <w:r>
              <w:rPr>
                <w:sz w:val="21"/>
              </w:rPr>
              <w:t>100%</w:t>
            </w:r>
            <w:r>
              <w:rPr>
                <w:sz w:val="21"/>
              </w:rPr>
              <w:t>（扣</w:t>
            </w:r>
            <w:r>
              <w:rPr>
                <w:sz w:val="21"/>
              </w:rPr>
              <w:t>1</w:t>
            </w:r>
            <w:r>
              <w:rPr>
                <w:sz w:val="21"/>
              </w:rPr>
              <w:t>分）；</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15</w:t>
            </w:r>
          </w:p>
        </w:tc>
        <w:tc>
          <w:tcPr>
            <w:tcW w:type="dxa" w:w="1442"/>
            <w:vMerge/>
            <w:tcBorders>
              <w:top w:val="none" w:color="000000" w:sz="4"/>
              <w:left w:val="single" w:color="000000" w:sz="4"/>
              <w:bottom w:val="single" w:color="000000" w:sz="4"/>
              <w:right w:val="single" w:color="000000" w:sz="4"/>
            </w:tcBorders>
          </w:tcPr>
          <w:p/>
        </w:tc>
        <w:tc>
          <w:tcPr>
            <w:tcW w:type="dxa" w:w="165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事件处理时间达标率</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达标率低于</w:t>
            </w:r>
            <w:r>
              <w:rPr>
                <w:sz w:val="21"/>
              </w:rPr>
              <w:t>70%</w:t>
            </w:r>
            <w:r>
              <w:rPr>
                <w:sz w:val="21"/>
              </w:rPr>
              <w:t>（扣</w:t>
            </w:r>
            <w:r>
              <w:rPr>
                <w:sz w:val="21"/>
              </w:rPr>
              <w:t>6</w:t>
            </w:r>
            <w:r>
              <w:rPr>
                <w:sz w:val="21"/>
              </w:rPr>
              <w:t>分）；低于</w:t>
            </w:r>
            <w:r>
              <w:rPr>
                <w:sz w:val="21"/>
              </w:rPr>
              <w:t>80%</w:t>
            </w:r>
            <w:r>
              <w:rPr>
                <w:sz w:val="21"/>
              </w:rPr>
              <w:t>（扣</w:t>
            </w:r>
            <w:r>
              <w:rPr>
                <w:sz w:val="21"/>
              </w:rPr>
              <w:t>4</w:t>
            </w:r>
            <w:r>
              <w:rPr>
                <w:sz w:val="21"/>
              </w:rPr>
              <w:t>分）；低于</w:t>
            </w:r>
            <w:r>
              <w:rPr>
                <w:sz w:val="21"/>
              </w:rPr>
              <w:t>90%</w:t>
            </w:r>
            <w:r>
              <w:rPr>
                <w:sz w:val="21"/>
              </w:rPr>
              <w:t>（扣</w:t>
            </w:r>
            <w:r>
              <w:rPr>
                <w:sz w:val="21"/>
              </w:rPr>
              <w:t>2</w:t>
            </w:r>
            <w:r>
              <w:rPr>
                <w:sz w:val="21"/>
              </w:rPr>
              <w:t>分）；低于</w:t>
            </w:r>
            <w:r>
              <w:rPr>
                <w:sz w:val="21"/>
              </w:rPr>
              <w:t>100%</w:t>
            </w:r>
            <w:r>
              <w:rPr>
                <w:sz w:val="21"/>
              </w:rPr>
              <w:t>（扣</w:t>
            </w:r>
            <w:r>
              <w:rPr>
                <w:sz w:val="21"/>
              </w:rPr>
              <w:t>1</w:t>
            </w:r>
            <w:r>
              <w:rPr>
                <w:sz w:val="21"/>
              </w:rPr>
              <w:t>分）；</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16</w:t>
            </w:r>
          </w:p>
        </w:tc>
        <w:tc>
          <w:tcPr>
            <w:tcW w:type="dxa" w:w="1442"/>
            <w:vMerge/>
            <w:tcBorders>
              <w:top w:val="none" w:color="000000" w:sz="4"/>
              <w:left w:val="single" w:color="000000" w:sz="4"/>
              <w:bottom w:val="single" w:color="000000" w:sz="4"/>
              <w:right w:val="single" w:color="000000" w:sz="4"/>
            </w:tcBorders>
          </w:tcPr>
          <w:p/>
        </w:tc>
        <w:tc>
          <w:tcPr>
            <w:tcW w:type="dxa" w:w="165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事件完成率（已经完成的事件数</w:t>
            </w:r>
            <w:r>
              <w:rPr>
                <w:sz w:val="21"/>
              </w:rPr>
              <w:t>/</w:t>
            </w:r>
            <w:r>
              <w:rPr>
                <w:sz w:val="21"/>
              </w:rPr>
              <w:t>事件总数）</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达标率低于</w:t>
            </w:r>
            <w:r>
              <w:rPr>
                <w:sz w:val="21"/>
              </w:rPr>
              <w:t>70%</w:t>
            </w:r>
            <w:r>
              <w:rPr>
                <w:sz w:val="21"/>
              </w:rPr>
              <w:t>（扣</w:t>
            </w:r>
            <w:r>
              <w:rPr>
                <w:sz w:val="21"/>
              </w:rPr>
              <w:t>6</w:t>
            </w:r>
            <w:r>
              <w:rPr>
                <w:sz w:val="21"/>
              </w:rPr>
              <w:t>分）；低于</w:t>
            </w:r>
            <w:r>
              <w:rPr>
                <w:sz w:val="21"/>
              </w:rPr>
              <w:t>80%</w:t>
            </w:r>
            <w:r>
              <w:rPr>
                <w:sz w:val="21"/>
              </w:rPr>
              <w:t>（扣</w:t>
            </w:r>
            <w:r>
              <w:rPr>
                <w:sz w:val="21"/>
              </w:rPr>
              <w:t>4</w:t>
            </w:r>
            <w:r>
              <w:rPr>
                <w:sz w:val="21"/>
              </w:rPr>
              <w:t>分）；低于</w:t>
            </w:r>
            <w:r>
              <w:rPr>
                <w:sz w:val="21"/>
              </w:rPr>
              <w:t>90%</w:t>
            </w:r>
            <w:r>
              <w:rPr>
                <w:sz w:val="21"/>
              </w:rPr>
              <w:t>（扣</w:t>
            </w:r>
            <w:r>
              <w:rPr>
                <w:sz w:val="21"/>
              </w:rPr>
              <w:t>2</w:t>
            </w:r>
            <w:r>
              <w:rPr>
                <w:sz w:val="21"/>
              </w:rPr>
              <w:t>分）；低于</w:t>
            </w:r>
            <w:r>
              <w:rPr>
                <w:sz w:val="21"/>
              </w:rPr>
              <w:t>100%</w:t>
            </w:r>
            <w:r>
              <w:rPr>
                <w:sz w:val="21"/>
              </w:rPr>
              <w:t>（扣</w:t>
            </w:r>
            <w:r>
              <w:rPr>
                <w:sz w:val="21"/>
              </w:rPr>
              <w:t>1</w:t>
            </w:r>
            <w:r>
              <w:rPr>
                <w:sz w:val="21"/>
              </w:rPr>
              <w:t>分）；</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17</w:t>
            </w:r>
          </w:p>
        </w:tc>
        <w:tc>
          <w:tcPr>
            <w:tcW w:type="dxa" w:w="1442"/>
            <w:vMerge w:val="restart"/>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备件服务</w:t>
            </w:r>
          </w:p>
        </w:tc>
        <w:tc>
          <w:tcPr>
            <w:tcW w:type="dxa" w:w="1652"/>
            <w:vMerge w:val="restart"/>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备件服务</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在接到甲方需求无法在短时间内对设备完成修复的，应马上提供备件更换，超出甲方规定时间到达现场更换备件的扣</w:t>
            </w:r>
            <w:r>
              <w:rPr>
                <w:sz w:val="21"/>
              </w:rPr>
              <w:t>1</w:t>
            </w:r>
            <w:r>
              <w:rPr>
                <w:sz w:val="21"/>
              </w:rPr>
              <w:t>分</w:t>
            </w:r>
            <w:r>
              <w:rPr>
                <w:sz w:val="21"/>
              </w:rPr>
              <w:t>/</w:t>
            </w:r>
            <w:r>
              <w:rPr>
                <w:sz w:val="21"/>
              </w:rPr>
              <w:t>次；</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18</w:t>
            </w:r>
          </w:p>
        </w:tc>
        <w:tc>
          <w:tcPr>
            <w:tcW w:type="dxa" w:w="1442"/>
            <w:vMerge/>
            <w:tcBorders>
              <w:top w:val="none" w:color="000000" w:sz="4"/>
              <w:left w:val="single" w:color="000000" w:sz="4"/>
              <w:bottom w:val="single" w:color="000000" w:sz="4"/>
              <w:right w:val="single" w:color="000000" w:sz="4"/>
            </w:tcBorders>
          </w:tcPr>
          <w:p/>
        </w:tc>
        <w:tc>
          <w:tcPr>
            <w:tcW w:type="dxa" w:w="1652"/>
            <w:vMerge/>
            <w:tcBorders>
              <w:top w:val="none" w:color="000000" w:sz="4"/>
              <w:left w:val="single" w:color="000000" w:sz="4"/>
              <w:bottom w:val="single" w:color="000000" w:sz="4"/>
              <w:right w:val="single" w:color="000000" w:sz="4"/>
            </w:tcBorders>
          </w:tcP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因乙方没有按时更换备件造成重大事故的，扣</w:t>
            </w:r>
            <w:r>
              <w:rPr>
                <w:sz w:val="21"/>
              </w:rPr>
              <w:t>15</w:t>
            </w:r>
            <w:r>
              <w:rPr>
                <w:sz w:val="21"/>
              </w:rPr>
              <w:t>分</w:t>
            </w:r>
            <w:r>
              <w:rPr>
                <w:sz w:val="21"/>
              </w:rPr>
              <w:t>/</w:t>
            </w:r>
            <w:r>
              <w:rPr>
                <w:sz w:val="21"/>
              </w:rPr>
              <w:t>次；</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19</w:t>
            </w:r>
          </w:p>
        </w:tc>
        <w:tc>
          <w:tcPr>
            <w:tcW w:type="dxa" w:w="144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抢修服务</w:t>
            </w:r>
          </w:p>
        </w:tc>
        <w:tc>
          <w:tcPr>
            <w:tcW w:type="dxa" w:w="165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抢修服务</w:t>
            </w:r>
          </w:p>
        </w:tc>
        <w:tc>
          <w:tcPr>
            <w:tcW w:type="dxa" w:w="341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在接到甲方抢修需求时，应在规定时间到达现场进行抢修，每超出</w:t>
            </w:r>
            <w:r>
              <w:rPr>
                <w:sz w:val="21"/>
              </w:rPr>
              <w:t>30</w:t>
            </w:r>
            <w:r>
              <w:rPr>
                <w:sz w:val="21"/>
              </w:rPr>
              <w:t>分钟到达现场，扣</w:t>
            </w:r>
            <w:r>
              <w:rPr>
                <w:sz w:val="21"/>
              </w:rPr>
              <w:t>0.5</w:t>
            </w:r>
            <w:r>
              <w:rPr>
                <w:sz w:val="21"/>
              </w:rPr>
              <w:t>分。</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r>
        <w:tc>
          <w:tcPr>
            <w:tcW w:type="dxa" w:w="69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tc>
        <w:tc>
          <w:tcPr>
            <w:tcW w:type="dxa" w:w="6504"/>
            <w:gridSpan w:val="3"/>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sz w:val="21"/>
              </w:rPr>
              <w:t>总分</w:t>
            </w:r>
          </w:p>
        </w:tc>
        <w:tc>
          <w:tcPr>
            <w:tcW w:type="dxa" w:w="1111"/>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r>
    </w:tbl>
    <w:p>
      <w:pPr>
        <w:pStyle w:val="null3"/>
      </w:pPr>
      <w:r>
        <w:rPr>
          <w:sz w:val="21"/>
        </w:rPr>
        <w:t>可根据该表增加个性化考核指标，最终解释由甲方所有。</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442000105-2024-00431</w:t>
      </w:r>
    </w:p>
    <w:p>
      <w:pPr>
        <w:pStyle w:val="null3"/>
        <w:jc w:val="center"/>
        <w:outlineLvl w:val="3"/>
      </w:pPr>
      <w:r>
        <w:rPr>
          <w:sz w:val="24"/>
          <w:b/>
        </w:rPr>
        <w:t>采购项目编号：</w:t>
      </w:r>
      <w:r>
        <w:rPr>
          <w:sz w:val="24"/>
          <w:b/>
        </w:rPr>
        <w:t>ZSCD202410GK091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中山市畅达工程管理有限公司</w:t>
      </w:r>
    </w:p>
    <w:p>
      <w:pPr>
        <w:pStyle w:val="null3"/>
        <w:ind w:firstLine="480"/>
      </w:pPr>
      <w:r>
        <w:rPr/>
        <w:t xml:space="preserve"> 你方组织的</w:t>
      </w:r>
      <w:r>
        <w:rPr>
          <w:u w:val="single"/>
        </w:rPr>
        <w:t>“</w:t>
      </w:r>
      <w:r>
        <w:rPr>
          <w:u w:val="single"/>
        </w:rPr>
        <w:t>古镇公安分局2024-2027年度政务信息化项目（警务通项目）</w:t>
      </w:r>
      <w:r>
        <w:rPr>
          <w:u w:val="single"/>
        </w:rPr>
        <w:t>”</w:t>
      </w:r>
      <w:r>
        <w:rPr/>
        <w:t>项目的招标[采购项目编号为：</w:t>
      </w:r>
      <w:r>
        <w:rPr>
          <w:u w:val="single"/>
        </w:rPr>
        <w:t>ZSCD202410GK091</w:t>
      </w:r>
      <w:r>
        <w:rPr/>
        <w:t>]，我方愿参与投标。</w:t>
      </w:r>
    </w:p>
    <w:p>
      <w:pPr>
        <w:pStyle w:val="null3"/>
        <w:ind w:firstLine="480"/>
      </w:pPr>
      <w:r>
        <w:rPr/>
        <w:t>我方确认收到贵方提供的</w:t>
      </w:r>
      <w:r>
        <w:rPr>
          <w:u w:val="single"/>
        </w:rPr>
        <w:t>“</w:t>
      </w:r>
      <w:r>
        <w:rPr>
          <w:u w:val="single"/>
        </w:rPr>
        <w:t>古镇公安分局2024-2027年度政务信息化项目（警务通项目）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中山市畅达工程管理有限公司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古镇公安分局2024-2027年度政务信息化项目（警务通项目）</w:t>
      </w:r>
      <w:r>
        <w:rPr/>
        <w:t>”项目采购[采购项目编号为</w:t>
      </w:r>
      <w:r>
        <w:rPr/>
        <w:t>ZSCD202410GK091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中山市公安局古镇分局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中山市畅达工程管理有限公司</w:t>
      </w:r>
    </w:p>
    <w:p>
      <w:pPr>
        <w:pStyle w:val="null3"/>
        <w:ind w:firstLine="480"/>
      </w:pPr>
      <w:r>
        <w:rPr/>
        <w:t xml:space="preserve"> 如果我方在贵采购代理机构组织的</w:t>
      </w:r>
      <w:r>
        <w:rPr/>
        <w:t>古镇公安分局2024-2027年度政务信息化项目（警务通项目）</w:t>
      </w:r>
      <w:r>
        <w:rPr/>
        <w:t>招标中获中标（采购项目编号：</w:t>
      </w:r>
      <w:r>
        <w:rPr/>
        <w:t>ZSCD202410GK091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中山市畅达工程管理有限公司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中山市畅达工程管理有限公司</w:t>
      </w:r>
    </w:p>
    <w:p>
      <w:pPr>
        <w:pStyle w:val="null3"/>
        <w:ind w:firstLine="480"/>
      </w:pPr>
      <w:r>
        <w:rPr/>
        <w:t>我单位已登记并准备参与“</w:t>
      </w:r>
      <w:r>
        <w:rPr/>
        <w:t>古镇公安分局2024-2027年度政务信息化项目（警务通项目）</w:t>
      </w:r>
      <w:r>
        <w:rPr/>
        <w:t>”项目（采购项目编号：</w:t>
      </w:r>
      <w:r>
        <w:rPr/>
        <w:t>ZSCD202410GK091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