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黑体" w:hAnsi="宋体" w:eastAsia="黑体" w:cs="黑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黑体" w:hAnsi="宋体" w:eastAsia="黑体" w:cs="黑体"/>
          <w:snapToGrid/>
          <w:color w:val="000000"/>
          <w:spacing w:val="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ascii="Calibri" w:hAnsi="Calibri" w:eastAsia="宋体" w:cs="Times New Roman"/>
          <w:snapToGrid/>
          <w:spacing w:val="0"/>
          <w:kern w:val="2"/>
          <w:sz w:val="21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spacing w:val="0"/>
          <w:kern w:val="0"/>
          <w:sz w:val="44"/>
          <w:szCs w:val="44"/>
          <w:lang w:val="en-US" w:eastAsia="zh-CN" w:bidi="ar"/>
        </w:rPr>
        <w:t>广交会出口展退展位约束机制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20" w:firstLineChars="200"/>
        <w:jc w:val="left"/>
        <w:textAlignment w:val="auto"/>
        <w:rPr>
          <w:rFonts w:ascii="仿宋_GB2312" w:hAnsi="宋体" w:eastAsia="仿宋_GB2312" w:cs="仿宋_GB2312"/>
          <w:snapToGrid/>
          <w:color w:val="000000"/>
          <w:spacing w:val="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ascii="Calibri" w:hAnsi="Calibri" w:eastAsia="宋体" w:cs="Times New Roman"/>
          <w:snapToGrid/>
          <w:spacing w:val="0"/>
          <w:kern w:val="2"/>
          <w:sz w:val="32"/>
          <w:szCs w:val="32"/>
        </w:rPr>
      </w:pPr>
      <w:r>
        <w:rPr>
          <w:rFonts w:ascii="仿宋_GB2312" w:hAnsi="宋体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在完成所有企业展位位置预置的第二天之前（含）退展</w:t>
      </w:r>
      <w:r>
        <w:rPr>
          <w:rFonts w:hint="eastAsia" w:ascii="仿宋_GB2312" w:hAnsi="宋体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位的，所退展位不收取展位费；在完成所有企业展位位置预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ascii="Calibri" w:hAnsi="Calibri" w:eastAsia="宋体" w:cs="Times New Roman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置后的第三天至4月14日退展位的，所退展位收取一半展位费；在4月15日及之后退展位的，所退展位收取全额展位费。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firstLine="640" w:firstLineChars="200"/>
        <w:jc w:val="left"/>
        <w:textAlignment w:val="auto"/>
        <w:rPr>
          <w:rFonts w:ascii="Calibri" w:hAnsi="Calibri" w:eastAsia="宋体" w:cs="Times New Roman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（注:因各展区展位位置安排进度不一，上述退展位约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ascii="Calibri" w:hAnsi="Calibri" w:eastAsia="宋体" w:cs="Times New Roman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束机制按所在展区执行，“所有企业”指在退展位对应的展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ascii="Calibri" w:hAnsi="Calibri" w:eastAsia="宋体" w:cs="Times New Roman"/>
          <w:snapToGrid/>
          <w:spacing w:val="0"/>
          <w:kern w:val="2"/>
          <w:sz w:val="32"/>
          <w:szCs w:val="32"/>
        </w:rPr>
      </w:pPr>
      <w:r>
        <w:rPr>
          <w:rFonts w:hint="eastAsia" w:ascii="仿宋_GB2312" w:hAnsi="宋体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区的所有企业。以上退展位约束机制不适用于新能源、宠物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宋体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snapToGrid/>
          <w:color w:val="000000"/>
          <w:spacing w:val="0"/>
          <w:kern w:val="0"/>
          <w:sz w:val="32"/>
          <w:szCs w:val="32"/>
          <w:lang w:val="en-US" w:eastAsia="zh-CN" w:bidi="ar"/>
        </w:rPr>
        <w:t>用品展区。）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A3F0B"/>
    <w:rsid w:val="4A6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2023-03-21T00:49:00Z</dcterms:created>
  <dc:creator>钟淇越</dc:creator>
  <cp:lastModifiedBy>钟淇越</cp:lastModifiedBy>
  <dcterms:modified xsi:type="dcterms:W3CDTF">2023-03-21T00:50:23Z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FD99E1C7249649BCB1618FD3E6F5F303</vt:lpwstr>
  </property>
</Properties>
</file>